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86C2FE">
    <v:background id="_x0000_s1025">
      <v:fill type="tile" on="t" color2="#FFFFFF" o:title="12313" focussize="0,0" recolor="t" r:id="rId4"/>
    </v:background>
  </w:background>
  <w:body>
    <w:p w14:paraId="38C87669">
      <w:pPr>
        <w:rPr>
          <w:rFonts w:hint="eastAsia" w:eastAsia="宋体"/>
          <w:lang w:eastAsia="zh-CN"/>
        </w:rPr>
      </w:pPr>
      <w:r>
        <w:rPr>
          <w:rFonts w:ascii="宋体" w:hAnsi="宋体" w:eastAsia="宋体" w:cs="宋体"/>
          <w:sz w:val="24"/>
          <w:szCs w:val="24"/>
        </w:rPr>
        <w:drawing>
          <wp:inline distT="0" distB="0" distL="114300" distR="114300">
            <wp:extent cx="304800" cy="304800"/>
            <wp:effectExtent l="0" t="0" r="0" b="0"/>
            <wp:docPr id="1" name="圖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eastAsia="宋体"/>
          <w:lang w:eastAsia="zh-CN"/>
        </w:rPr>
        <w:drawing>
          <wp:inline distT="0" distB="0" distL="114300" distR="114300">
            <wp:extent cx="5264785" cy="2611755"/>
            <wp:effectExtent l="0" t="0" r="12065" b="17145"/>
            <wp:docPr id="2" name="圖片 2"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19"/>
                    <pic:cNvPicPr>
                      <a:picLocks noChangeAspect="1"/>
                    </pic:cNvPicPr>
                  </pic:nvPicPr>
                  <pic:blipFill>
                    <a:blip r:embed="rId6"/>
                    <a:stretch>
                      <a:fillRect/>
                    </a:stretch>
                  </pic:blipFill>
                  <pic:spPr>
                    <a:xfrm>
                      <a:off x="0" y="0"/>
                      <a:ext cx="5264785" cy="2611755"/>
                    </a:xfrm>
                    <a:prstGeom prst="rect">
                      <a:avLst/>
                    </a:prstGeom>
                  </pic:spPr>
                </pic:pic>
              </a:graphicData>
            </a:graphic>
          </wp:inline>
        </w:drawing>
      </w:r>
    </w:p>
    <w:p w14:paraId="6935B1DD">
      <w:pPr>
        <w:rPr>
          <w:rFonts w:hint="eastAsia" w:eastAsia="宋体"/>
          <w:lang w:eastAsia="zh-CN"/>
        </w:rPr>
      </w:pPr>
      <w:r>
        <w:rPr>
          <w:rFonts w:hint="eastAsia" w:eastAsia="宋体"/>
          <w:lang w:eastAsia="zh-CN"/>
        </w:rPr>
        <w:t>All eyes were on today’s Non-Farm Payroll data — and it certainly delivered a moment of excitement. Based on the numbers released ahead of the market open, what insights can we draw for Q3 and our investment outlook for July?</w:t>
      </w:r>
    </w:p>
    <w:p w14:paraId="130009C2">
      <w:pPr>
        <w:rPr>
          <w:rFonts w:hint="eastAsia" w:eastAsia="宋体"/>
          <w:lang w:eastAsia="zh-CN"/>
        </w:rPr>
      </w:pPr>
    </w:p>
    <w:p w14:paraId="08C5400C">
      <w:pPr>
        <w:rPr>
          <w:rFonts w:hint="eastAsia" w:eastAsia="宋体"/>
          <w:lang w:eastAsia="zh-CN"/>
        </w:rPr>
      </w:pPr>
      <w:r>
        <w:rPr>
          <w:rFonts w:hint="eastAsia" w:eastAsia="宋体"/>
          <w:lang w:eastAsia="zh-CN"/>
        </w:rPr>
        <w:t>This morning’s Non-Farm Payroll report came in above expectations at 147,000, with a revised figure of 158,000. These results reflect the lower-than-expected job growth the market had been waiting for — but with it, hopes for a July Fed rate cut have essentially faded.</w:t>
      </w:r>
    </w:p>
    <w:p w14:paraId="20C5A44E">
      <w:pPr>
        <w:rPr>
          <w:rFonts w:hint="eastAsia" w:eastAsia="宋体"/>
          <w:lang w:eastAsia="zh-CN"/>
        </w:rPr>
      </w:pPr>
    </w:p>
    <w:p w14:paraId="46161F23">
      <w:pPr>
        <w:rPr>
          <w:rFonts w:hint="eastAsia" w:eastAsia="宋体"/>
          <w:lang w:eastAsia="zh-CN"/>
        </w:rPr>
      </w:pPr>
      <w:r>
        <w:rPr>
          <w:rFonts w:hint="eastAsia" w:eastAsia="宋体"/>
          <w:lang w:eastAsia="zh-CN"/>
        </w:rPr>
        <w:t>Meanwhile, the unemployment rate unexpectedly declined to 4.1%, better than market forecasts.</w:t>
      </w:r>
    </w:p>
    <w:p w14:paraId="34A487AF">
      <w:pPr>
        <w:rPr>
          <w:rFonts w:hint="eastAsia" w:eastAsia="宋体"/>
          <w:lang w:eastAsia="zh-CN"/>
        </w:rPr>
      </w:pPr>
    </w:p>
    <w:p w14:paraId="065432BC">
      <w:pPr>
        <w:rPr>
          <w:rFonts w:hint="eastAsia" w:eastAsia="宋体"/>
          <w:lang w:eastAsia="zh-CN"/>
        </w:rPr>
      </w:pPr>
      <w:r>
        <w:rPr>
          <w:rFonts w:hint="eastAsia" w:eastAsia="宋体"/>
          <w:lang w:eastAsia="zh-CN"/>
        </w:rPr>
        <w:t>Together, these two key data points suggest the U.S. economy isn’t slowing down as much as some had anticipated — in fact, it remains relatively resilient.</w:t>
      </w:r>
    </w:p>
    <w:p w14:paraId="4B1A0178">
      <w:pPr>
        <w:rPr>
          <w:rFonts w:hint="eastAsia" w:eastAsia="宋体"/>
          <w:lang w:eastAsia="zh-CN"/>
        </w:rPr>
      </w:pPr>
    </w:p>
    <w:p w14:paraId="3249A85F">
      <w:pPr>
        <w:rPr>
          <w:rFonts w:hint="eastAsia" w:eastAsia="宋体"/>
          <w:lang w:eastAsia="zh-CN"/>
        </w:rPr>
      </w:pPr>
      <w:r>
        <w:rPr>
          <w:rFonts w:hint="eastAsia" w:eastAsia="宋体"/>
          <w:lang w:eastAsia="zh-CN"/>
        </w:rPr>
        <w:t>Based on this data, it’s safe to say the Federal Reserve is unlikely to move forward with a rate cut this July.</w:t>
      </w:r>
    </w:p>
    <w:p w14:paraId="27FE9180">
      <w:pPr>
        <w:rPr>
          <w:rFonts w:hint="eastAsia" w:eastAsia="宋体"/>
          <w:lang w:eastAsia="zh-CN"/>
        </w:rPr>
      </w:pPr>
    </w:p>
    <w:p w14:paraId="53CE271A">
      <w:pPr>
        <w:rPr>
          <w:rFonts w:hint="eastAsia" w:eastAsia="宋体"/>
          <w:lang w:eastAsia="zh-CN"/>
        </w:rPr>
      </w:pPr>
    </w:p>
    <w:p w14:paraId="6D4DCA33">
      <w:pPr>
        <w:rPr>
          <w:rFonts w:hint="eastAsia" w:eastAsia="宋体"/>
          <w:lang w:eastAsia="zh-CN"/>
        </w:rPr>
      </w:pPr>
    </w:p>
    <w:p w14:paraId="63885241">
      <w:pPr>
        <w:rPr>
          <w:rFonts w:hint="eastAsia" w:eastAsia="宋体"/>
          <w:lang w:eastAsia="zh-CN"/>
        </w:rPr>
      </w:pPr>
    </w:p>
    <w:p w14:paraId="1D05F2A7">
      <w:pPr>
        <w:rPr>
          <w:rFonts w:hint="eastAsia" w:eastAsia="宋体"/>
          <w:lang w:eastAsia="zh-CN"/>
        </w:rPr>
      </w:pPr>
      <w:r>
        <w:rPr>
          <w:rFonts w:hint="eastAsia" w:eastAsia="宋体"/>
          <w:lang w:eastAsia="zh-CN"/>
        </w:rPr>
        <w:t>How can we understand the market’s interpretation of the Non-Farm Payroll data in simple terms?</w:t>
      </w:r>
    </w:p>
    <w:p w14:paraId="6D0DC916">
      <w:pPr>
        <w:rPr>
          <w:rFonts w:hint="eastAsia" w:eastAsia="宋体"/>
          <w:lang w:eastAsia="zh-CN"/>
        </w:rPr>
      </w:pPr>
    </w:p>
    <w:p w14:paraId="55D86969">
      <w:pPr>
        <w:rPr>
          <w:rFonts w:hint="eastAsia" w:eastAsia="宋体"/>
          <w:lang w:eastAsia="zh-CN"/>
        </w:rPr>
      </w:pPr>
      <w:r>
        <w:rPr>
          <w:rFonts w:hint="eastAsia" w:eastAsia="宋体"/>
          <w:lang w:eastAsia="zh-CN"/>
        </w:rPr>
        <w:t>First, when employment data comes in better than expected, it shows that businesses are in relatively good shape, both in terms of survival and daily operations. That means people’s jobs are more stable than the market originally feared.</w:t>
      </w:r>
    </w:p>
    <w:p w14:paraId="613B6D59">
      <w:pPr>
        <w:rPr>
          <w:rFonts w:hint="eastAsia" w:eastAsia="宋体"/>
          <w:lang w:eastAsia="zh-CN"/>
        </w:rPr>
      </w:pPr>
    </w:p>
    <w:p w14:paraId="0E052FDC">
      <w:pPr>
        <w:rPr>
          <w:rFonts w:hint="eastAsia" w:eastAsia="宋体"/>
          <w:lang w:eastAsia="zh-CN"/>
        </w:rPr>
      </w:pPr>
      <w:r>
        <w:rPr>
          <w:rFonts w:hint="eastAsia" w:eastAsia="宋体"/>
          <w:lang w:eastAsia="zh-CN"/>
        </w:rPr>
        <w:t>A healthy business environment suggests better prospects for financing and consumption, as people can rely on stable income. This reflects a relatively good state of economic growth.</w:t>
      </w:r>
    </w:p>
    <w:p w14:paraId="4EA7F8D1">
      <w:pPr>
        <w:rPr>
          <w:rFonts w:hint="eastAsia" w:eastAsia="宋体"/>
          <w:lang w:eastAsia="zh-CN"/>
        </w:rPr>
      </w:pPr>
    </w:p>
    <w:p w14:paraId="242F7AF3">
      <w:pPr>
        <w:rPr>
          <w:rFonts w:hint="eastAsia" w:eastAsia="宋体"/>
          <w:lang w:eastAsia="zh-CN"/>
        </w:rPr>
      </w:pPr>
      <w:r>
        <w:rPr>
          <w:rFonts w:hint="eastAsia" w:eastAsia="宋体"/>
          <w:lang w:eastAsia="zh-CN"/>
        </w:rPr>
        <w:t>At the same time, the unemployment rate unexpectedly improved, which means the environment for re-employment is getting better — more unemployed people are finding jobs. That also indicates stronger expectations for economic growth.</w:t>
      </w:r>
    </w:p>
    <w:p w14:paraId="556A79ED">
      <w:pPr>
        <w:rPr>
          <w:rFonts w:hint="eastAsia" w:eastAsia="宋体"/>
          <w:lang w:eastAsia="zh-CN"/>
        </w:rPr>
      </w:pPr>
    </w:p>
    <w:p w14:paraId="4E297114">
      <w:pPr>
        <w:rPr>
          <w:rFonts w:hint="eastAsia" w:eastAsia="宋体"/>
          <w:lang w:eastAsia="zh-CN"/>
        </w:rPr>
      </w:pPr>
      <w:r>
        <w:rPr>
          <w:rFonts w:hint="eastAsia" w:eastAsia="宋体"/>
          <w:lang w:eastAsia="zh-CN"/>
        </w:rPr>
        <w:t>In this case, when the economy is growing well, the Federal Reserve’s purpose for cutting rates is to maintain steady growth. But when the economy is already performing better, they won’t cut rates, because that could increase inflation pressure.</w:t>
      </w:r>
    </w:p>
    <w:p w14:paraId="4C05636A">
      <w:pPr>
        <w:rPr>
          <w:rFonts w:hint="eastAsia" w:eastAsia="宋体"/>
          <w:lang w:eastAsia="zh-CN"/>
        </w:rPr>
      </w:pPr>
    </w:p>
    <w:p w14:paraId="106ABA8B">
      <w:pPr>
        <w:rPr>
          <w:rFonts w:hint="eastAsia" w:eastAsia="宋体"/>
          <w:lang w:eastAsia="zh-CN"/>
        </w:rPr>
      </w:pPr>
      <w:r>
        <w:rPr>
          <w:rFonts w:hint="eastAsia" w:eastAsia="宋体"/>
          <w:lang w:eastAsia="zh-CN"/>
        </w:rPr>
        <w:t>So, based on this, I believe there will be no rate cut in July.</w:t>
      </w:r>
    </w:p>
    <w:p w14:paraId="61158020">
      <w:pPr>
        <w:rPr>
          <w:rFonts w:hint="eastAsia" w:eastAsia="宋体"/>
          <w:lang w:eastAsia="zh-CN"/>
        </w:rPr>
      </w:pPr>
    </w:p>
    <w:p w14:paraId="1A1CBF1C">
      <w:pPr>
        <w:rPr>
          <w:rFonts w:hint="eastAsia" w:eastAsia="宋体"/>
          <w:lang w:eastAsia="zh-CN"/>
        </w:rPr>
      </w:pPr>
    </w:p>
    <w:p w14:paraId="2343A656">
      <w:pPr>
        <w:rPr>
          <w:rFonts w:hint="eastAsia" w:eastAsia="宋体"/>
          <w:lang w:eastAsia="zh-CN"/>
        </w:rPr>
      </w:pPr>
    </w:p>
    <w:p w14:paraId="04A8277D">
      <w:pPr>
        <w:rPr>
          <w:rFonts w:hint="eastAsia" w:eastAsia="宋体"/>
          <w:lang w:eastAsia="zh-CN"/>
        </w:rPr>
      </w:pPr>
    </w:p>
    <w:p w14:paraId="5860C536">
      <w:pPr>
        <w:rPr>
          <w:rFonts w:hint="eastAsia" w:eastAsia="宋体"/>
          <w:lang w:eastAsia="zh-CN"/>
        </w:rPr>
      </w:pPr>
      <w:r>
        <w:rPr>
          <w:rFonts w:hint="eastAsia" w:eastAsia="宋体"/>
          <w:lang w:eastAsia="zh-CN"/>
        </w:rPr>
        <w:t>So, when will the rate cut happen? And is today’s stock market facing any real danger?</w:t>
      </w:r>
    </w:p>
    <w:p w14:paraId="554FC6CC">
      <w:pPr>
        <w:rPr>
          <w:rFonts w:hint="eastAsia" w:eastAsia="宋体"/>
          <w:lang w:eastAsia="zh-CN"/>
        </w:rPr>
      </w:pPr>
    </w:p>
    <w:p w14:paraId="7D1F2070">
      <w:pPr>
        <w:rPr>
          <w:rFonts w:hint="eastAsia" w:eastAsia="宋体"/>
          <w:lang w:eastAsia="zh-CN"/>
        </w:rPr>
      </w:pPr>
      <w:r>
        <w:rPr>
          <w:rFonts w:hint="eastAsia" w:eastAsia="宋体"/>
          <w:lang w:eastAsia="zh-CN"/>
        </w:rPr>
        <w:t>First, we know that today’s market will close three hours early, which means there’s very little trading time. Coupled with the Independence Day holiday, trading sentiment naturally won’t be very strong.</w:t>
      </w:r>
    </w:p>
    <w:p w14:paraId="06B0DE74">
      <w:pPr>
        <w:rPr>
          <w:rFonts w:hint="eastAsia" w:eastAsia="宋体"/>
          <w:lang w:eastAsia="zh-CN"/>
        </w:rPr>
      </w:pPr>
    </w:p>
    <w:p w14:paraId="7D0D06A3">
      <w:pPr>
        <w:rPr>
          <w:rFonts w:hint="eastAsia" w:eastAsia="宋体"/>
          <w:lang w:eastAsia="zh-CN"/>
        </w:rPr>
      </w:pPr>
      <w:r>
        <w:rPr>
          <w:rFonts w:hint="eastAsia" w:eastAsia="宋体"/>
          <w:lang w:eastAsia="zh-CN"/>
        </w:rPr>
        <w:t>On top of that, today’s Non-Farm Payroll data delayed expectations for a rate cut, leading to a wave of choppy declines in the stock market. But this pullback doesn’t change the overall trend.</w:t>
      </w:r>
    </w:p>
    <w:p w14:paraId="06F5E273">
      <w:pPr>
        <w:rPr>
          <w:rFonts w:hint="eastAsia" w:eastAsia="宋体"/>
          <w:lang w:eastAsia="zh-CN"/>
        </w:rPr>
      </w:pPr>
    </w:p>
    <w:p w14:paraId="57B262EC">
      <w:pPr>
        <w:rPr>
          <w:rFonts w:hint="eastAsia" w:eastAsia="宋体"/>
          <w:lang w:eastAsia="zh-CN"/>
        </w:rPr>
      </w:pPr>
      <w:r>
        <w:rPr>
          <w:rFonts w:hint="eastAsia" w:eastAsia="宋体"/>
          <w:lang w:eastAsia="zh-CN"/>
        </w:rPr>
        <w:t>After all, as early as last Friday, I predicted that after the S&amp;P 500 broke through its all-time high, it would experience a pullback following 3 to 4 days of gains. That’s why I arranged for risk hedging at the start of this week with volatility ETFs like UVXY and UVIX.</w:t>
      </w:r>
    </w:p>
    <w:p w14:paraId="59755F4F">
      <w:pPr>
        <w:rPr>
          <w:rFonts w:hint="eastAsia" w:eastAsia="宋体"/>
          <w:lang w:eastAsia="zh-CN"/>
        </w:rPr>
      </w:pPr>
    </w:p>
    <w:p w14:paraId="009DB689">
      <w:pPr>
        <w:rPr>
          <w:rFonts w:hint="eastAsia" w:eastAsia="宋体"/>
          <w:lang w:eastAsia="zh-CN"/>
        </w:rPr>
      </w:pPr>
      <w:r>
        <w:rPr>
          <w:rFonts w:hint="eastAsia" w:eastAsia="宋体"/>
          <w:lang w:eastAsia="zh-CN"/>
        </w:rPr>
        <w:t>Although the market has stayed in steady oscillation over the past couple of days, these instruments have played their role as effective hedges.</w:t>
      </w:r>
    </w:p>
    <w:p w14:paraId="16CFBE76">
      <w:pPr>
        <w:rPr>
          <w:rFonts w:hint="eastAsia" w:eastAsia="宋体"/>
          <w:lang w:eastAsia="zh-CN"/>
        </w:rPr>
      </w:pPr>
    </w:p>
    <w:p w14:paraId="240BBD7F">
      <w:pPr>
        <w:rPr>
          <w:rFonts w:hint="eastAsia" w:eastAsia="宋体"/>
          <w:lang w:eastAsia="zh-CN"/>
        </w:rPr>
      </w:pPr>
    </w:p>
    <w:p w14:paraId="6EB444AA">
      <w:pPr>
        <w:rPr>
          <w:rFonts w:hint="eastAsia" w:eastAsia="宋体"/>
          <w:lang w:eastAsia="zh-CN"/>
        </w:rPr>
      </w:pPr>
    </w:p>
    <w:p w14:paraId="512416B8">
      <w:pPr>
        <w:rPr>
          <w:rFonts w:hint="eastAsia" w:eastAsia="宋体"/>
          <w:lang w:eastAsia="zh-CN"/>
        </w:rPr>
      </w:pPr>
    </w:p>
    <w:p w14:paraId="1A975FD1">
      <w:pPr>
        <w:rPr>
          <w:rFonts w:hint="eastAsia" w:eastAsia="宋体"/>
          <w:lang w:eastAsia="zh-CN"/>
        </w:rPr>
      </w:pPr>
      <w:r>
        <w:rPr>
          <w:rFonts w:hint="eastAsia" w:eastAsia="宋体"/>
          <w:lang w:eastAsia="zh-CN"/>
        </w:rPr>
        <w:drawing>
          <wp:inline distT="0" distB="0" distL="114300" distR="114300">
            <wp:extent cx="5272405" cy="5276215"/>
            <wp:effectExtent l="0" t="0" r="4445" b="635"/>
            <wp:docPr id="3" name="圖片 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20"/>
                    <pic:cNvPicPr>
                      <a:picLocks noChangeAspect="1"/>
                    </pic:cNvPicPr>
                  </pic:nvPicPr>
                  <pic:blipFill>
                    <a:blip r:embed="rId7"/>
                    <a:stretch>
                      <a:fillRect/>
                    </a:stretch>
                  </pic:blipFill>
                  <pic:spPr>
                    <a:xfrm>
                      <a:off x="0" y="0"/>
                      <a:ext cx="5272405" cy="5276215"/>
                    </a:xfrm>
                    <a:prstGeom prst="rect">
                      <a:avLst/>
                    </a:prstGeom>
                  </pic:spPr>
                </pic:pic>
              </a:graphicData>
            </a:graphic>
          </wp:inline>
        </w:drawing>
      </w:r>
    </w:p>
    <w:p w14:paraId="193ECD39">
      <w:pPr>
        <w:rPr>
          <w:rFonts w:hint="eastAsia" w:eastAsia="宋体"/>
          <w:lang w:eastAsia="zh-CN"/>
        </w:rPr>
      </w:pPr>
      <w:r>
        <w:rPr>
          <w:rFonts w:hint="eastAsia" w:eastAsia="宋体"/>
          <w:lang w:eastAsia="zh-CN"/>
        </w:rPr>
        <w:t>The door for a July rate cut is closed, and now the market is shifting its expectations toward a potential rate cut in September.</w:t>
      </w:r>
    </w:p>
    <w:p w14:paraId="09A71793">
      <w:pPr>
        <w:rPr>
          <w:rFonts w:hint="eastAsia" w:eastAsia="宋体"/>
          <w:lang w:eastAsia="zh-CN"/>
        </w:rPr>
      </w:pPr>
    </w:p>
    <w:p w14:paraId="6A5B1F52">
      <w:pPr>
        <w:rPr>
          <w:rFonts w:hint="eastAsia" w:eastAsia="宋体"/>
          <w:lang w:eastAsia="zh-CN"/>
        </w:rPr>
      </w:pPr>
      <w:r>
        <w:rPr>
          <w:rFonts w:hint="eastAsia" w:eastAsia="宋体"/>
          <w:lang w:eastAsia="zh-CN"/>
        </w:rPr>
        <w:t>This will help the stock market create new entry opportunities after a short-term decline. Of course, it’s also possible to see some selling pressure increase ahead of the holiday.</w:t>
      </w:r>
    </w:p>
    <w:p w14:paraId="3A1488CF">
      <w:pPr>
        <w:rPr>
          <w:rFonts w:hint="eastAsia" w:eastAsia="宋体"/>
          <w:lang w:eastAsia="zh-CN"/>
        </w:rPr>
      </w:pPr>
    </w:p>
    <w:p w14:paraId="176B16AE">
      <w:pPr>
        <w:rPr>
          <w:rFonts w:hint="eastAsia" w:eastAsia="宋体"/>
          <w:lang w:eastAsia="zh-CN"/>
        </w:rPr>
      </w:pPr>
      <w:r>
        <w:rPr>
          <w:rFonts w:hint="eastAsia" w:eastAsia="宋体"/>
          <w:lang w:eastAsia="zh-CN"/>
        </w:rPr>
        <w:t>So, as I’ve emphasized in the past: keep a certain amount of cash on hand, stay flexible with quick, short-term profit-taking — our stock trades still maintain the advantage of being compensation-backed.</w:t>
      </w:r>
    </w:p>
    <w:p w14:paraId="245A6F16">
      <w:pPr>
        <w:rPr>
          <w:rFonts w:hint="eastAsia" w:eastAsia="宋体"/>
          <w:lang w:eastAsia="zh-CN"/>
        </w:rPr>
      </w:pPr>
    </w:p>
    <w:p w14:paraId="0E707CC8">
      <w:pPr>
        <w:rPr>
          <w:rFonts w:hint="eastAsia" w:eastAsia="宋体"/>
          <w:lang w:eastAsia="zh-CN"/>
        </w:rPr>
      </w:pPr>
      <w:r>
        <w:rPr>
          <w:rFonts w:hint="eastAsia" w:eastAsia="宋体"/>
          <w:lang w:eastAsia="zh-CN"/>
        </w:rPr>
        <w:t>Although we lost the positive momentum at the beginning of July, we now have an opportunity to benefit from the entire Q3 earnings outlook.</w:t>
      </w:r>
    </w:p>
    <w:p w14:paraId="4C1C1BDA">
      <w:pPr>
        <w:rPr>
          <w:rFonts w:hint="eastAsia" w:eastAsia="宋体"/>
          <w:lang w:eastAsia="zh-CN"/>
        </w:rPr>
      </w:pPr>
    </w:p>
    <w:p w14:paraId="049937E4">
      <w:pPr>
        <w:rPr>
          <w:rFonts w:hint="eastAsia" w:eastAsia="宋体"/>
          <w:lang w:eastAsia="zh-CN"/>
        </w:rPr>
      </w:pPr>
      <w:r>
        <w:rPr>
          <w:rFonts w:hint="eastAsia" w:eastAsia="宋体"/>
          <w:lang w:eastAsia="zh-CN"/>
        </w:rPr>
        <w:t>My quantitative strategy will continue to be updated and improved. I’ll be back here next Tuesday, July 8th, to take over my assistant’s work during this period and launch a series of targeted quantitative strategy sessions.</w:t>
      </w:r>
    </w:p>
    <w:p w14:paraId="4530D694">
      <w:pPr>
        <w:rPr>
          <w:rFonts w:hint="eastAsia" w:eastAsia="宋体"/>
          <w:lang w:eastAsia="zh-CN"/>
        </w:rPr>
      </w:pPr>
    </w:p>
    <w:p w14:paraId="2DF77686">
      <w:pPr>
        <w:rPr>
          <w:rFonts w:hint="eastAsia" w:eastAsia="宋体"/>
          <w:lang w:eastAsia="zh-CN"/>
        </w:rPr>
      </w:pPr>
      <w:r>
        <w:rPr>
          <w:rFonts w:hint="eastAsia" w:eastAsia="宋体"/>
          <w:lang w:eastAsia="zh-CN"/>
        </w:rPr>
        <w:t>With trading strategies rooted in real market practice, I believe we’ll achieve solid and lasting wealth growth.</w:t>
      </w:r>
      <w:bookmarkStart w:id="0" w:name="_GoBack"/>
      <w:bookmarkEnd w:id="0"/>
    </w:p>
    <w:sectPr>
      <w:pgSz w:w="11906" w:h="16838"/>
      <w:pgMar w:top="200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PMingLiU">
    <w:altName w:val="PMingLiU-ExtB"/>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細明體">
    <w:altName w:val="PMingLiU-ExtB"/>
    <w:panose1 w:val="02020509000000000000"/>
    <w:charset w:val="88"/>
    <w:family w:val="modern"/>
    <w:pitch w:val="default"/>
    <w:sig w:usb0="A00002FF" w:usb1="28CFFCFA" w:usb2="00000016" w:usb3="00000000" w:csb0="00100001"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7BEF9"/>
    <w:rsid w:val="3AFF2EB0"/>
    <w:rsid w:val="DBE7B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79</TotalTime>
  <ScaleCrop>false</ScaleCrop>
  <LinksUpToDate>false</LinksUpToDate>
  <CharactersWithSpaces>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2025-06-25T21:14:00Z</dcterms:created>
  <dc:creator>YYYYYY.</dc:creator>
  <cp:lastModifiedBy>Administrator</cp:lastModifiedBy>
  <dcterms:modified xsi:type="dcterms:W3CDTF">2025-07-03T16:08:42Z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3076-12.2.0.21546</vt:lpwstr>
  </property>
  <property fmtid="{D5CDD505-2E9C-101B-9397-08002B2CF9AE}" pid="3" name="ICV">
    <vt:lpwstr>A8A2BBE9E4744498B553C03B80E4B417_13</vt:lpwstr>
  </property>
</Properties>
</file>