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86C2FE">
    <v:background id="_x0000_s1025">
      <v:fill type="tile" on="t" color2="#FFFFFF" o:title="12313" focussize="0,0" recolor="t" r:id="rId4"/>
    </v:background>
  </w:background>
  <w:body>
    <w:p w14:paraId="55DFC596">
      <w:r>
        <w:rPr>
          <w:rFonts w:ascii="宋体" w:hAnsi="宋体" w:eastAsia="宋体" w:cs="宋体"/>
          <w:sz w:val="24"/>
          <w:szCs w:val="24"/>
        </w:rPr>
        <w:drawing>
          <wp:inline distT="0" distB="0" distL="114300" distR="114300">
            <wp:extent cx="304800" cy="3048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04800" cy="304800"/>
            <wp:effectExtent l="0" t="0" r="0"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5266690" cy="2407285"/>
            <wp:effectExtent l="0" t="0" r="1016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6690" cy="2407285"/>
                    </a:xfrm>
                    <a:prstGeom prst="rect">
                      <a:avLst/>
                    </a:prstGeom>
                    <a:noFill/>
                    <a:ln>
                      <a:noFill/>
                    </a:ln>
                  </pic:spPr>
                </pic:pic>
              </a:graphicData>
            </a:graphic>
          </wp:inline>
        </w:drawing>
      </w:r>
    </w:p>
    <w:p w14:paraId="2D58369E">
      <w:pPr>
        <w:rPr>
          <w:rFonts w:hint="eastAsia"/>
          <w:lang w:eastAsia="zh-CN"/>
        </w:rPr>
      </w:pPr>
      <w:r>
        <w:rPr>
          <w:rFonts w:hint="eastAsia"/>
          <w:lang w:eastAsia="zh-CN"/>
        </w:rPr>
        <w:t>Good morning, everyone,</w:t>
      </w:r>
    </w:p>
    <w:p w14:paraId="77AEB250">
      <w:pPr>
        <w:rPr>
          <w:rFonts w:hint="eastAsia"/>
          <w:lang w:eastAsia="zh-CN"/>
        </w:rPr>
      </w:pPr>
    </w:p>
    <w:p w14:paraId="72A88B32">
      <w:pPr>
        <w:rPr>
          <w:rFonts w:hint="eastAsia"/>
          <w:lang w:eastAsia="zh-CN"/>
        </w:rPr>
      </w:pPr>
      <w:r>
        <w:rPr>
          <w:rFonts w:hint="eastAsia"/>
          <w:lang w:eastAsia="zh-CN"/>
        </w:rPr>
        <w:t>I’m Robert Brown. It’s a quiet privilege to be addressed as “Doctor,” and while many of you who’ve recently joined us may not yet be familiar with my background, you’re welcome to explore more through the official site of the Quantitative Think Tank Center: https://www.novaquantpro.com/news .</w:t>
      </w:r>
    </w:p>
    <w:p w14:paraId="36607AF2">
      <w:pPr>
        <w:rPr>
          <w:rFonts w:hint="eastAsia"/>
          <w:lang w:eastAsia="zh-CN"/>
        </w:rPr>
      </w:pPr>
    </w:p>
    <w:p w14:paraId="21249D62">
      <w:pPr>
        <w:rPr>
          <w:rFonts w:hint="eastAsia"/>
          <w:lang w:eastAsia="zh-CN"/>
        </w:rPr>
      </w:pPr>
      <w:r>
        <w:rPr>
          <w:rFonts w:hint="eastAsia"/>
          <w:lang w:eastAsia="zh-CN"/>
        </w:rPr>
        <w:t>Those who’ve walked this path with us for some time already understand the discipline and precision with which we approach wealth creation through quantitative strategy. Over the past few weeks, during my brief absence, many of you have remained engaged through our community forum and found guidance from my trusted assistant, Claire Miller.</w:t>
      </w:r>
    </w:p>
    <w:p w14:paraId="3279D546">
      <w:pPr>
        <w:rPr>
          <w:rFonts w:hint="eastAsia"/>
          <w:lang w:eastAsia="zh-CN"/>
        </w:rPr>
      </w:pPr>
    </w:p>
    <w:p w14:paraId="33B989B8">
      <w:pPr>
        <w:rPr>
          <w:rFonts w:hint="eastAsia"/>
          <w:lang w:eastAsia="zh-CN"/>
        </w:rPr>
      </w:pPr>
      <w:r>
        <w:rPr>
          <w:rFonts w:hint="eastAsia"/>
          <w:lang w:eastAsia="zh-CN"/>
        </w:rPr>
        <w:t>I want to begin by offering her my sincere thanks. In my absence, she extended care and thoughtful attention to each of you—efforts that speak not only to competence, but to character.</w:t>
      </w:r>
    </w:p>
    <w:p w14:paraId="406F124D">
      <w:pPr>
        <w:rPr>
          <w:rFonts w:hint="eastAsia"/>
          <w:lang w:eastAsia="zh-CN"/>
        </w:rPr>
      </w:pPr>
    </w:p>
    <w:p w14:paraId="576B9F3A">
      <w:pPr>
        <w:rPr>
          <w:rFonts w:hint="eastAsia"/>
          <w:lang w:eastAsia="zh-CN"/>
        </w:rPr>
      </w:pPr>
      <w:r>
        <w:rPr>
          <w:rFonts w:hint="eastAsia"/>
          <w:lang w:eastAsia="zh-CN"/>
        </w:rPr>
        <w:t>My hope for this community has never been limited to financial growth. True value lies in what we cultivate together: clarity of mind, strength of purpose, and kindness in action.</w:t>
      </w:r>
    </w:p>
    <w:p w14:paraId="0C6EC1DD">
      <w:pPr>
        <w:rPr>
          <w:rFonts w:hint="eastAsia"/>
          <w:lang w:eastAsia="zh-CN"/>
        </w:rPr>
      </w:pPr>
    </w:p>
    <w:p w14:paraId="29E664BA">
      <w:pPr>
        <w:rPr>
          <w:rFonts w:hint="eastAsia"/>
          <w:lang w:eastAsia="zh-CN"/>
        </w:rPr>
      </w:pPr>
      <w:r>
        <w:rPr>
          <w:rFonts w:hint="eastAsia"/>
          <w:lang w:eastAsia="zh-CN"/>
        </w:rPr>
        <w:t>May we continue to build a space where knowledge serves not only capital, but connection; where innovation honors tradition; and where each act of generosity, no matter how small, becomes part of something enduring.</w:t>
      </w:r>
    </w:p>
    <w:p w14:paraId="254E6918">
      <w:pPr>
        <w:rPr>
          <w:rFonts w:hint="eastAsia"/>
          <w:lang w:eastAsia="zh-CN"/>
        </w:rPr>
      </w:pPr>
    </w:p>
    <w:p w14:paraId="39B0B10A">
      <w:pPr>
        <w:rPr>
          <w:rFonts w:hint="eastAsia"/>
          <w:lang w:eastAsia="zh-CN"/>
        </w:rPr>
      </w:pPr>
      <w:r>
        <w:rPr>
          <w:rFonts w:hint="eastAsia"/>
          <w:lang w:eastAsia="zh-CN"/>
        </w:rPr>
        <w:t>Wishing peace, health, and quiet joy to all who strive—and serve—with heart.</w:t>
      </w:r>
    </w:p>
    <w:p w14:paraId="4B6752A2">
      <w:pPr>
        <w:rPr>
          <w:rFonts w:hint="eastAsia"/>
          <w:lang w:eastAsia="zh-CN"/>
        </w:rPr>
      </w:pPr>
    </w:p>
    <w:p w14:paraId="5FAFC124">
      <w:pPr>
        <w:rPr>
          <w:rFonts w:hint="eastAsia"/>
          <w:lang w:eastAsia="zh-CN"/>
        </w:rPr>
      </w:pPr>
    </w:p>
    <w:p w14:paraId="11843229">
      <w:pPr>
        <w:rPr>
          <w:rFonts w:hint="eastAsia"/>
          <w:lang w:eastAsia="zh-CN"/>
        </w:rPr>
      </w:pPr>
    </w:p>
    <w:p w14:paraId="1E42EA8E">
      <w:pPr>
        <w:rPr>
          <w:rFonts w:hint="eastAsia"/>
          <w:lang w:eastAsia="zh-CN"/>
        </w:rPr>
      </w:pPr>
    </w:p>
    <w:p w14:paraId="09D5B8BB">
      <w:pPr>
        <w:rPr>
          <w:rFonts w:hint="eastAsia"/>
          <w:lang w:eastAsia="zh-CN"/>
        </w:rPr>
      </w:pPr>
    </w:p>
    <w:p w14:paraId="2EBA5156">
      <w:pPr>
        <w:rPr>
          <w:rFonts w:hint="eastAsia"/>
          <w:lang w:eastAsia="zh-CN"/>
        </w:rPr>
      </w:pPr>
      <w:r>
        <w:drawing>
          <wp:inline distT="0" distB="0" distL="114300" distR="114300">
            <wp:extent cx="5266690" cy="2806065"/>
            <wp:effectExtent l="0" t="0" r="10160" b="133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a:stretch>
                      <a:fillRect/>
                    </a:stretch>
                  </pic:blipFill>
                  <pic:spPr>
                    <a:xfrm>
                      <a:off x="0" y="0"/>
                      <a:ext cx="5266690" cy="2806065"/>
                    </a:xfrm>
                    <a:prstGeom prst="rect">
                      <a:avLst/>
                    </a:prstGeom>
                    <a:noFill/>
                    <a:ln>
                      <a:noFill/>
                    </a:ln>
                  </pic:spPr>
                </pic:pic>
              </a:graphicData>
            </a:graphic>
          </wp:inline>
        </w:drawing>
      </w:r>
      <w:r>
        <w:rPr>
          <w:rFonts w:hint="eastAsia"/>
          <w:lang w:eastAsia="zh-CN"/>
        </w:rPr>
        <w:t>Over the past several years, the capital markets have weathered both exuberant highs and sobering lows. We’ve lived through the euphoria of bull runs and endured the uncertainty of downturns. Amid this turbulence, countless individuals have searched for direction—longing, above all, for a sense of clarity.</w:t>
      </w:r>
    </w:p>
    <w:p w14:paraId="7D5AE056">
      <w:pPr>
        <w:rPr>
          <w:rFonts w:hint="eastAsia"/>
          <w:lang w:eastAsia="zh-CN"/>
        </w:rPr>
      </w:pPr>
    </w:p>
    <w:p w14:paraId="0A4C1780">
      <w:pPr>
        <w:rPr>
          <w:rFonts w:hint="eastAsia"/>
          <w:lang w:eastAsia="zh-CN"/>
        </w:rPr>
      </w:pPr>
      <w:r>
        <w:rPr>
          <w:rFonts w:hint="eastAsia"/>
          <w:lang w:eastAsia="zh-CN"/>
        </w:rPr>
        <w:t>I’ve never been one to be swayed by the noise of the moment. My focus has remained unwavering: at the frontier of data, algorithms, and quantitative models. I do not aspire merely to follow trends—I seek to define them, and to subject them to rigorous empirical validation.</w:t>
      </w:r>
    </w:p>
    <w:p w14:paraId="33096642">
      <w:pPr>
        <w:rPr>
          <w:rFonts w:hint="eastAsia"/>
          <w:lang w:eastAsia="zh-CN"/>
        </w:rPr>
      </w:pPr>
    </w:p>
    <w:p w14:paraId="4B73F587">
      <w:pPr>
        <w:rPr>
          <w:rFonts w:hint="eastAsia"/>
          <w:lang w:eastAsia="zh-CN"/>
        </w:rPr>
      </w:pPr>
      <w:r>
        <w:rPr>
          <w:rFonts w:hint="eastAsia"/>
          <w:lang w:eastAsia="zh-CN"/>
        </w:rPr>
        <w:t>That is why I have chosen to dedicate my life’s work to the development and refinement of Acumeta—a platform that, in my view, represents a fundamental shift in how we understand and engage with financial systems.</w:t>
      </w:r>
    </w:p>
    <w:p w14:paraId="4CF6F1F8">
      <w:pPr>
        <w:rPr>
          <w:rFonts w:hint="eastAsia"/>
          <w:lang w:eastAsia="zh-CN"/>
        </w:rPr>
      </w:pPr>
    </w:p>
    <w:p w14:paraId="6164C4DF">
      <w:pPr>
        <w:rPr>
          <w:rFonts w:hint="eastAsia"/>
          <w:lang w:eastAsia="zh-CN"/>
        </w:rPr>
      </w:pPr>
      <w:r>
        <w:rPr>
          <w:rFonts w:hint="eastAsia"/>
          <w:lang w:eastAsia="zh-CN"/>
        </w:rPr>
        <w:t>This is not merely a tool. It is the culmination of years spent distilling advanced quantitative theory into actionable, tested frameworks. It reflects a conviction I’ve held throughout my career: that accuracy is not optional in the capital markets—it is the only path to enduring success.</w:t>
      </w:r>
    </w:p>
    <w:p w14:paraId="7F928218">
      <w:pPr>
        <w:rPr>
          <w:rFonts w:hint="eastAsia"/>
          <w:lang w:eastAsia="zh-CN"/>
        </w:rPr>
      </w:pPr>
    </w:p>
    <w:p w14:paraId="60E45009">
      <w:pPr>
        <w:rPr>
          <w:rFonts w:hint="eastAsia"/>
          <w:lang w:eastAsia="zh-CN"/>
        </w:rPr>
      </w:pPr>
      <w:r>
        <w:rPr>
          <w:rFonts w:hint="eastAsia"/>
          <w:lang w:eastAsia="zh-CN"/>
        </w:rPr>
        <w:t>But beyond precision, I am equally, if not more, obsessed with resilience. For true wealth is never built in a moment of momentum—it is forged through time, across cycles, and within systems that can withstand the unpredictable. A sound strategy must not only be correct—it must endure.</w:t>
      </w:r>
    </w:p>
    <w:p w14:paraId="0BA23BAA">
      <w:pPr>
        <w:rPr>
          <w:rFonts w:hint="eastAsia"/>
          <w:lang w:eastAsia="zh-CN"/>
        </w:rPr>
      </w:pPr>
    </w:p>
    <w:p w14:paraId="6DAE5949">
      <w:pPr>
        <w:rPr>
          <w:rFonts w:hint="eastAsia"/>
          <w:lang w:eastAsia="zh-CN"/>
        </w:rPr>
      </w:pPr>
    </w:p>
    <w:p w14:paraId="79F5AE4C">
      <w:pPr>
        <w:rPr>
          <w:rFonts w:hint="eastAsia"/>
          <w:lang w:eastAsia="zh-CN"/>
        </w:rPr>
      </w:pPr>
    </w:p>
    <w:p w14:paraId="3738ED4C">
      <w:pPr>
        <w:rPr>
          <w:rFonts w:hint="eastAsia"/>
          <w:lang w:eastAsia="zh-CN"/>
        </w:rPr>
      </w:pPr>
    </w:p>
    <w:p w14:paraId="12B06A0F">
      <w:r>
        <w:drawing>
          <wp:inline distT="0" distB="0" distL="114300" distR="114300">
            <wp:extent cx="5266690" cy="3509645"/>
            <wp:effectExtent l="0" t="0" r="10160" b="146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stretch>
                      <a:fillRect/>
                    </a:stretch>
                  </pic:blipFill>
                  <pic:spPr>
                    <a:xfrm>
                      <a:off x="0" y="0"/>
                      <a:ext cx="5266690" cy="3509645"/>
                    </a:xfrm>
                    <a:prstGeom prst="rect">
                      <a:avLst/>
                    </a:prstGeom>
                    <a:noFill/>
                    <a:ln>
                      <a:noFill/>
                    </a:ln>
                  </pic:spPr>
                </pic:pic>
              </a:graphicData>
            </a:graphic>
          </wp:inline>
        </w:drawing>
      </w:r>
    </w:p>
    <w:p w14:paraId="70522BE5">
      <w:pPr>
        <w:rPr>
          <w:rFonts w:hint="eastAsia"/>
          <w:lang w:eastAsia="zh-CN"/>
        </w:rPr>
      </w:pPr>
      <w:r>
        <w:rPr>
          <w:rFonts w:hint="eastAsia"/>
          <w:lang w:eastAsia="zh-CN"/>
        </w:rPr>
        <w:t>Beginning today, I will personally walk you through how Acumeta is positioned to be your most trusted partner amid a market landscape that is increasingly complex and dynamic—how our quantitative strategies are designed to serve not as mere tools, but as enduring foundations for sound decision-making.</w:t>
      </w:r>
    </w:p>
    <w:p w14:paraId="1599F8CF">
      <w:pPr>
        <w:rPr>
          <w:rFonts w:hint="eastAsia"/>
          <w:lang w:eastAsia="zh-CN"/>
        </w:rPr>
      </w:pPr>
    </w:p>
    <w:p w14:paraId="592DE1FD">
      <w:pPr>
        <w:rPr>
          <w:rFonts w:hint="eastAsia"/>
          <w:lang w:eastAsia="zh-CN"/>
        </w:rPr>
      </w:pPr>
      <w:r>
        <w:rPr>
          <w:rFonts w:hint="eastAsia"/>
          <w:lang w:eastAsia="zh-CN"/>
        </w:rPr>
        <w:t>Drawing from my own experience and perspective, my goal is to offer a blueprint that is not only analytically rigorous and practically executable, but also grounded in long-term optimism.</w:t>
      </w:r>
    </w:p>
    <w:p w14:paraId="5E298E7F">
      <w:pPr>
        <w:rPr>
          <w:rFonts w:hint="eastAsia"/>
          <w:lang w:eastAsia="zh-CN"/>
        </w:rPr>
      </w:pPr>
    </w:p>
    <w:p w14:paraId="7EA7E858">
      <w:pPr>
        <w:rPr>
          <w:rFonts w:hint="eastAsia"/>
          <w:lang w:eastAsia="zh-CN"/>
        </w:rPr>
      </w:pPr>
      <w:r>
        <w:rPr>
          <w:rFonts w:hint="eastAsia"/>
          <w:lang w:eastAsia="zh-CN"/>
        </w:rPr>
        <w:t>At present, Acumeta remains in its developmental phase. Through the official site, you may follow our public roadmap in real time. In due course—once the system has been thoroughly tested in live environments, has passed robust security protocols, and has demonstrated meaningful parameter outputs across deep data sets—we will move toward market deployment and formal pricing of our services.</w:t>
      </w:r>
    </w:p>
    <w:p w14:paraId="2B5DA7C4">
      <w:pPr>
        <w:rPr>
          <w:rFonts w:hint="eastAsia"/>
          <w:lang w:eastAsia="zh-CN"/>
        </w:rPr>
      </w:pPr>
    </w:p>
    <w:p w14:paraId="6AA49DFD">
      <w:pPr>
        <w:rPr>
          <w:rFonts w:hint="eastAsia"/>
          <w:lang w:eastAsia="zh-CN"/>
        </w:rPr>
      </w:pPr>
      <w:r>
        <w:rPr>
          <w:rFonts w:hint="eastAsia"/>
          <w:lang w:eastAsia="zh-CN"/>
        </w:rPr>
        <w:t>But for now, we remain in a phase of open validation. Our intention is simple: to offer you early access to one of Acumeta’s core applications—real-time feedback on equity trading strategies—at no cost.</w:t>
      </w:r>
    </w:p>
    <w:p w14:paraId="699DA071">
      <w:pPr>
        <w:rPr>
          <w:rFonts w:hint="eastAsia"/>
          <w:lang w:eastAsia="zh-CN"/>
        </w:rPr>
      </w:pPr>
    </w:p>
    <w:p w14:paraId="4D76419F">
      <w:pPr>
        <w:rPr>
          <w:rFonts w:hint="eastAsia"/>
          <w:lang w:eastAsia="zh-CN"/>
        </w:rPr>
      </w:pPr>
      <w:r>
        <w:rPr>
          <w:rFonts w:hint="eastAsia"/>
          <w:lang w:eastAsia="zh-CN"/>
        </w:rPr>
        <w:t>In the future, our vision is to expand vertically across other major markets, including cryptoassets, futures, and foreign exchange. This journey is essential to making the platform not only more intelligent, but also more resilient across asset classes and market conditions.</w:t>
      </w:r>
    </w:p>
    <w:p w14:paraId="50079CC7">
      <w:pPr>
        <w:rPr>
          <w:rFonts w:hint="eastAsia"/>
          <w:lang w:eastAsia="zh-CN"/>
        </w:rPr>
      </w:pPr>
    </w:p>
    <w:p w14:paraId="1C4A8FF4">
      <w:pPr>
        <w:rPr>
          <w:rFonts w:hint="eastAsia"/>
          <w:lang w:eastAsia="zh-CN"/>
        </w:rPr>
      </w:pPr>
      <w:r>
        <w:rPr>
          <w:rFonts w:hint="eastAsia"/>
          <w:lang w:eastAsia="zh-CN"/>
        </w:rPr>
        <w:t>I invite you, first and foremost, to be a validator and beneficiary of the system—before becoming its customer.</w:t>
      </w:r>
    </w:p>
    <w:p w14:paraId="20E8EFD3">
      <w:pPr>
        <w:rPr>
          <w:rFonts w:hint="eastAsia"/>
          <w:lang w:eastAsia="zh-CN"/>
        </w:rPr>
      </w:pPr>
      <w:r>
        <w:rPr>
          <w:rFonts w:hint="eastAsia"/>
          <w:lang w:eastAsia="zh-CN"/>
        </w:rPr>
        <w:t>Does this philosophy of engagement resonate with you?</w:t>
      </w:r>
    </w:p>
    <w:p w14:paraId="758DB982">
      <w:pPr>
        <w:rPr>
          <w:rFonts w:hint="eastAsia"/>
          <w:lang w:eastAsia="zh-CN"/>
        </w:rPr>
      </w:pPr>
    </w:p>
    <w:p w14:paraId="18E1F40F">
      <w:pPr>
        <w:rPr>
          <w:rFonts w:hint="eastAsia"/>
          <w:lang w:eastAsia="zh-CN"/>
        </w:rPr>
      </w:pPr>
    </w:p>
    <w:p w14:paraId="756234B4">
      <w:pPr>
        <w:rPr>
          <w:rFonts w:hint="eastAsia"/>
          <w:lang w:eastAsia="zh-CN"/>
        </w:rPr>
      </w:pPr>
    </w:p>
    <w:p w14:paraId="43714B53">
      <w:pPr>
        <w:rPr>
          <w:rFonts w:hint="eastAsia"/>
          <w:lang w:eastAsia="zh-CN"/>
        </w:rPr>
      </w:pPr>
    </w:p>
    <w:p w14:paraId="75A26211">
      <w:pPr>
        <w:rPr>
          <w:rFonts w:hint="eastAsia"/>
          <w:lang w:eastAsia="zh-CN"/>
        </w:rPr>
      </w:pPr>
      <w:r>
        <w:rPr>
          <w:rFonts w:hint="eastAsia"/>
          <w:lang w:eastAsia="zh-CN"/>
        </w:rPr>
        <w:t>Today is Tuesday. Over the next six to nine months, I will be hosting a series of community forum sessions, structured around a visual curriculum. Through these sessions, I will gradually unpack a range of critical knowledge points—designed to share the analytical logic and decision-making philosophy behind leading quantitative strategies with every viewer who joins us here.</w:t>
      </w:r>
    </w:p>
    <w:p w14:paraId="15436D62">
      <w:pPr>
        <w:rPr>
          <w:rFonts w:hint="eastAsia"/>
          <w:lang w:eastAsia="zh-CN"/>
        </w:rPr>
      </w:pPr>
    </w:p>
    <w:p w14:paraId="43CA321B">
      <w:pPr>
        <w:rPr>
          <w:rFonts w:hint="eastAsia"/>
          <w:lang w:eastAsia="zh-CN"/>
        </w:rPr>
      </w:pPr>
      <w:r>
        <w:rPr>
          <w:rFonts w:hint="eastAsia"/>
          <w:lang w:eastAsia="zh-CN"/>
        </w:rPr>
        <w:t>The ultimate vision for Acumeta is for it to evolve into a system that not only encapsulates, but ultimately surpasses, my own years of trading experience. It is meant to inherit the discipline, insight, and intellectual rigor I’ve gathered over time—while integrating the strengths of a diverse group of analysts—to become a powerful, secure, and accessible tool for future investors.</w:t>
      </w:r>
    </w:p>
    <w:p w14:paraId="60560BC5">
      <w:pPr>
        <w:rPr>
          <w:rFonts w:hint="eastAsia"/>
          <w:lang w:eastAsia="zh-CN"/>
        </w:rPr>
      </w:pPr>
    </w:p>
    <w:p w14:paraId="0C6863A9">
      <w:pPr>
        <w:rPr>
          <w:rFonts w:hint="eastAsia"/>
          <w:lang w:eastAsia="zh-CN"/>
        </w:rPr>
      </w:pPr>
      <w:r>
        <w:rPr>
          <w:rFonts w:hint="eastAsia"/>
          <w:lang w:eastAsia="zh-CN"/>
        </w:rPr>
        <w:t>If this content speaks to you, then starting today, I will continue to offer daily forum sessions—merging current affairs, policy shifts, and market context—to explore market trends, sector dynamics, and signals in equity trading.</w:t>
      </w:r>
    </w:p>
    <w:p w14:paraId="444682D0">
      <w:pPr>
        <w:rPr>
          <w:rFonts w:hint="eastAsia"/>
          <w:lang w:eastAsia="zh-CN"/>
        </w:rPr>
      </w:pPr>
    </w:p>
    <w:p w14:paraId="7D4C4CAD">
      <w:pPr>
        <w:rPr>
          <w:rFonts w:hint="eastAsia"/>
          <w:lang w:eastAsia="zh-CN"/>
        </w:rPr>
      </w:pPr>
      <w:r>
        <w:rPr>
          <w:rFonts w:hint="eastAsia"/>
          <w:lang w:eastAsia="zh-CN"/>
        </w:rPr>
        <w:t>Does this interactive approach to learning appeal to you?</w:t>
      </w:r>
    </w:p>
    <w:p w14:paraId="4A1D0B8B">
      <w:pPr>
        <w:rPr>
          <w:rFonts w:hint="eastAsia"/>
          <w:lang w:eastAsia="zh-CN"/>
        </w:rPr>
      </w:pPr>
    </w:p>
    <w:p w14:paraId="45247C8A">
      <w:pPr>
        <w:rPr>
          <w:rFonts w:hint="eastAsia"/>
          <w:lang w:eastAsia="zh-CN"/>
        </w:rPr>
      </w:pPr>
    </w:p>
    <w:p w14:paraId="180E44B2">
      <w:pPr>
        <w:rPr>
          <w:rFonts w:hint="eastAsia"/>
          <w:lang w:eastAsia="zh-CN"/>
        </w:rPr>
      </w:pPr>
    </w:p>
    <w:p w14:paraId="05D1A119">
      <w:pPr>
        <w:rPr>
          <w:rFonts w:hint="eastAsia"/>
          <w:lang w:eastAsia="zh-CN"/>
        </w:rPr>
      </w:pPr>
    </w:p>
    <w:p w14:paraId="487E09E5">
      <w:pPr>
        <w:rPr>
          <w:rFonts w:hint="eastAsia"/>
          <w:b/>
          <w:bCs/>
          <w:lang w:eastAsia="zh-CN"/>
        </w:rPr>
      </w:pPr>
    </w:p>
    <w:p w14:paraId="740124C2">
      <w:r>
        <w:drawing>
          <wp:inline distT="0" distB="0" distL="114300" distR="114300">
            <wp:extent cx="5266690" cy="1913255"/>
            <wp:effectExtent l="0" t="0" r="10160" b="1079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stretch>
                      <a:fillRect/>
                    </a:stretch>
                  </pic:blipFill>
                  <pic:spPr>
                    <a:xfrm>
                      <a:off x="0" y="0"/>
                      <a:ext cx="5266690" cy="1913255"/>
                    </a:xfrm>
                    <a:prstGeom prst="rect">
                      <a:avLst/>
                    </a:prstGeom>
                    <a:noFill/>
                    <a:ln>
                      <a:noFill/>
                    </a:ln>
                  </pic:spPr>
                </pic:pic>
              </a:graphicData>
            </a:graphic>
          </wp:inline>
        </w:drawing>
      </w:r>
    </w:p>
    <w:p w14:paraId="2B0E69BB">
      <w:pPr>
        <w:rPr>
          <w:rFonts w:hint="eastAsia"/>
          <w:lang w:eastAsia="zh-CN"/>
        </w:rPr>
      </w:pPr>
      <w:r>
        <w:rPr>
          <w:rFonts w:hint="eastAsia"/>
          <w:lang w:eastAsia="zh-CN"/>
        </w:rPr>
        <w:t>When we trade equities, it’s only natural to pay attention to the direction of the major stock indices. But how exactly should we interpret those movements?</w:t>
      </w:r>
    </w:p>
    <w:p w14:paraId="5167275B">
      <w:pPr>
        <w:rPr>
          <w:rFonts w:hint="eastAsia"/>
          <w:lang w:eastAsia="zh-CN"/>
        </w:rPr>
      </w:pPr>
    </w:p>
    <w:p w14:paraId="15F2E62B">
      <w:pPr>
        <w:rPr>
          <w:rFonts w:hint="eastAsia"/>
          <w:lang w:eastAsia="zh-CN"/>
        </w:rPr>
      </w:pPr>
      <w:r>
        <w:rPr>
          <w:rFonts w:hint="eastAsia"/>
          <w:lang w:eastAsia="zh-CN"/>
        </w:rPr>
        <w:t>From my years of experience in capital markets, I’ve come to believe that accurately reading index trends is essential to identifying the broader direction of opportunity.</w:t>
      </w:r>
    </w:p>
    <w:p w14:paraId="5B50154C">
      <w:pPr>
        <w:rPr>
          <w:rFonts w:hint="eastAsia"/>
          <w:lang w:eastAsia="zh-CN"/>
        </w:rPr>
      </w:pPr>
    </w:p>
    <w:p w14:paraId="5B5A2EE9">
      <w:pPr>
        <w:rPr>
          <w:rFonts w:hint="eastAsia"/>
          <w:lang w:eastAsia="zh-CN"/>
        </w:rPr>
      </w:pPr>
      <w:r>
        <w:rPr>
          <w:rFonts w:hint="eastAsia"/>
          <w:lang w:eastAsia="zh-CN"/>
        </w:rPr>
        <w:t>On a more granular level—when analyzing daily market conditions—I make it a point to observe the performance of the three major equity index futures before the market opens. These are: MESmain (S&amp;P 500 Micro), NQmain (Nasdaq Micro), and YMmain (Dow Micro).</w:t>
      </w:r>
    </w:p>
    <w:p w14:paraId="29438905">
      <w:pPr>
        <w:rPr>
          <w:rFonts w:hint="eastAsia"/>
          <w:lang w:eastAsia="zh-CN"/>
        </w:rPr>
      </w:pPr>
    </w:p>
    <w:p w14:paraId="02398FCF">
      <w:pPr>
        <w:rPr>
          <w:rFonts w:hint="eastAsia"/>
          <w:lang w:eastAsia="zh-CN"/>
        </w:rPr>
      </w:pPr>
      <w:r>
        <w:rPr>
          <w:rFonts w:hint="eastAsia"/>
          <w:lang w:eastAsia="zh-CN"/>
        </w:rPr>
        <w:t>Futures markets open ahead of the regular stock trading session, and for that reason, they often offer valuable early signals.</w:t>
      </w:r>
    </w:p>
    <w:p w14:paraId="519EBC24">
      <w:pPr>
        <w:rPr>
          <w:rFonts w:hint="eastAsia"/>
          <w:lang w:eastAsia="zh-CN"/>
        </w:rPr>
      </w:pPr>
    </w:p>
    <w:p w14:paraId="4D96BFB2">
      <w:pPr>
        <w:rPr>
          <w:rFonts w:hint="eastAsia"/>
          <w:lang w:eastAsia="zh-CN"/>
        </w:rPr>
      </w:pPr>
      <w:r>
        <w:rPr>
          <w:rFonts w:hint="eastAsia"/>
          <w:lang w:eastAsia="zh-CN"/>
        </w:rPr>
        <w:t>If the index futures show strength in the pre-market, it usually suggests that stocks will open higher—indicating a generally positive trading sentiment.</w:t>
      </w:r>
    </w:p>
    <w:p w14:paraId="3A8BEA39">
      <w:pPr>
        <w:rPr>
          <w:rFonts w:hint="eastAsia"/>
          <w:lang w:eastAsia="zh-CN"/>
        </w:rPr>
      </w:pPr>
    </w:p>
    <w:p w14:paraId="474BD8DE">
      <w:pPr>
        <w:rPr>
          <w:rFonts w:hint="eastAsia"/>
          <w:lang w:eastAsia="zh-CN"/>
        </w:rPr>
      </w:pPr>
      <w:r>
        <w:rPr>
          <w:rFonts w:hint="eastAsia"/>
          <w:lang w:eastAsia="zh-CN"/>
        </w:rPr>
        <w:t>If the futures are weak, it typically points to a lower opening for the indices and reflects a more cautious or risk-off mood, possibly with increased selling pressure.</w:t>
      </w:r>
    </w:p>
    <w:p w14:paraId="1BC835A9">
      <w:pPr>
        <w:rPr>
          <w:rFonts w:hint="eastAsia"/>
          <w:lang w:eastAsia="zh-CN"/>
        </w:rPr>
      </w:pPr>
    </w:p>
    <w:p w14:paraId="4C8A92F6">
      <w:pPr>
        <w:rPr>
          <w:rFonts w:hint="eastAsia"/>
          <w:lang w:eastAsia="zh-CN"/>
        </w:rPr>
      </w:pPr>
      <w:r>
        <w:rPr>
          <w:rFonts w:hint="eastAsia"/>
          <w:lang w:eastAsia="zh-CN"/>
        </w:rPr>
        <w:t>Observing these early indicators gives me a foundational perspective from which to evaluate the trading day—not the full picture, of course, but a useful first filter.</w:t>
      </w:r>
    </w:p>
    <w:p w14:paraId="05E60D08">
      <w:pPr>
        <w:rPr>
          <w:rFonts w:hint="eastAsia"/>
          <w:lang w:eastAsia="zh-CN"/>
        </w:rPr>
      </w:pPr>
    </w:p>
    <w:p w14:paraId="7681CCC0">
      <w:pPr>
        <w:rPr>
          <w:rFonts w:hint="eastAsia"/>
          <w:lang w:eastAsia="zh-CN"/>
        </w:rPr>
      </w:pPr>
      <w:r>
        <w:rPr>
          <w:rFonts w:hint="eastAsia"/>
          <w:lang w:eastAsia="zh-CN"/>
        </w:rPr>
        <w:t>For instance, if futures are trading higher on a Tuesday morning, we can reasonably expect a mild upward opening in the S&amp;P 500. That might imply, for example, a favorable shift in market perception regarding tariffs or other policy developments.</w:t>
      </w:r>
    </w:p>
    <w:p w14:paraId="2A33486E">
      <w:pPr>
        <w:rPr>
          <w:rFonts w:hint="eastAsia"/>
          <w:lang w:eastAsia="zh-CN"/>
        </w:rPr>
      </w:pPr>
    </w:p>
    <w:p w14:paraId="44557FE9">
      <w:pPr>
        <w:rPr>
          <w:rFonts w:hint="eastAsia"/>
          <w:lang w:eastAsia="zh-CN"/>
        </w:rPr>
      </w:pPr>
    </w:p>
    <w:p w14:paraId="629E5F75">
      <w:pPr>
        <w:rPr>
          <w:rFonts w:hint="eastAsia"/>
          <w:lang w:eastAsia="zh-CN"/>
        </w:rPr>
      </w:pPr>
    </w:p>
    <w:p w14:paraId="7C7C9F24">
      <w:pPr>
        <w:rPr>
          <w:rFonts w:hint="eastAsia"/>
          <w:lang w:eastAsia="zh-CN"/>
        </w:rPr>
      </w:pPr>
    </w:p>
    <w:p w14:paraId="4D3D1E69">
      <w:pPr>
        <w:rPr>
          <w:rFonts w:hint="eastAsia"/>
          <w:lang w:eastAsia="zh-CN"/>
        </w:rPr>
      </w:pPr>
      <w:r>
        <w:rPr>
          <w:rFonts w:hint="eastAsia"/>
          <w:lang w:eastAsia="zh-CN"/>
        </w:rPr>
        <w:t>So, what exactly drives these market reversals? The answer, interestingly, is TACO.</w:t>
      </w:r>
    </w:p>
    <w:p w14:paraId="143A39AC">
      <w:pPr>
        <w:rPr>
          <w:rFonts w:hint="eastAsia"/>
          <w:lang w:eastAsia="zh-CN"/>
        </w:rPr>
      </w:pPr>
    </w:p>
    <w:p w14:paraId="3DAE5728">
      <w:pPr>
        <w:rPr>
          <w:rFonts w:hint="eastAsia"/>
          <w:lang w:eastAsia="zh-CN"/>
        </w:rPr>
      </w:pPr>
      <w:r>
        <w:rPr>
          <w:rFonts w:hint="eastAsia"/>
          <w:lang w:eastAsia="zh-CN"/>
        </w:rPr>
        <w:t>TACO—despite its seemingly playful appearance—is a shorthand with deeper implications.</w:t>
      </w:r>
    </w:p>
    <w:p w14:paraId="73B30F02">
      <w:pPr>
        <w:rPr>
          <w:rFonts w:hint="eastAsia"/>
          <w:lang w:eastAsia="zh-CN"/>
        </w:rPr>
      </w:pPr>
      <w:r>
        <w:rPr>
          <w:rFonts w:hint="eastAsia"/>
          <w:lang w:eastAsia="zh-CN"/>
        </w:rPr>
        <w:t>It stands for “Trump Always Chickens Out.”</w:t>
      </w:r>
    </w:p>
    <w:p w14:paraId="76F00433">
      <w:pPr>
        <w:rPr>
          <w:rFonts w:hint="eastAsia"/>
          <w:lang w:eastAsia="zh-CN"/>
        </w:rPr>
      </w:pPr>
    </w:p>
    <w:p w14:paraId="33D1B44D">
      <w:pPr>
        <w:rPr>
          <w:rFonts w:hint="eastAsia"/>
          <w:lang w:eastAsia="zh-CN"/>
        </w:rPr>
      </w:pPr>
      <w:r>
        <w:rPr>
          <w:rFonts w:hint="eastAsia"/>
          <w:lang w:eastAsia="zh-CN"/>
        </w:rPr>
        <w:t>The core logic behind this trading strategy is simple: whenever President Trump delivers aggressive tariff threats that cause markets to plunge, it often presents an ideal buying opportunity.</w:t>
      </w:r>
    </w:p>
    <w:p w14:paraId="5D41DE70">
      <w:pPr>
        <w:rPr>
          <w:rFonts w:hint="eastAsia"/>
          <w:lang w:eastAsia="zh-CN"/>
        </w:rPr>
      </w:pPr>
    </w:p>
    <w:p w14:paraId="6CFB2114">
      <w:pPr>
        <w:rPr>
          <w:rFonts w:hint="eastAsia"/>
          <w:lang w:eastAsia="zh-CN"/>
        </w:rPr>
      </w:pPr>
      <w:r>
        <w:rPr>
          <w:rFonts w:hint="eastAsia"/>
          <w:lang w:eastAsia="zh-CN"/>
        </w:rPr>
        <w:t>Historical data within Acumeta confirms this pattern. The President—who has long referred to himself as a practitioner of “the art of the deal”—has repeatedly pulled back from implementing the most damaging tariff measures at the last moment.</w:t>
      </w:r>
    </w:p>
    <w:p w14:paraId="0D6C2887">
      <w:pPr>
        <w:rPr>
          <w:rFonts w:hint="eastAsia"/>
          <w:lang w:eastAsia="zh-CN"/>
        </w:rPr>
      </w:pPr>
    </w:p>
    <w:p w14:paraId="0F59E71B">
      <w:pPr>
        <w:rPr>
          <w:rFonts w:hint="eastAsia"/>
          <w:lang w:eastAsia="zh-CN"/>
        </w:rPr>
      </w:pPr>
      <w:r>
        <w:rPr>
          <w:rFonts w:hint="eastAsia"/>
          <w:lang w:eastAsia="zh-CN"/>
        </w:rPr>
        <w:t>As is widely known, July 9 marked the final deadline for tariff actions originally delayed in April. Yet just yesterday, the White House issued 14 separate tariff-related notices, heightening pressure around trade negotiations.</w:t>
      </w:r>
    </w:p>
    <w:p w14:paraId="700C5E2A">
      <w:pPr>
        <w:rPr>
          <w:rFonts w:hint="eastAsia"/>
          <w:lang w:eastAsia="zh-CN"/>
        </w:rPr>
      </w:pPr>
    </w:p>
    <w:p w14:paraId="4576B3A8">
      <w:pPr>
        <w:rPr>
          <w:rFonts w:hint="eastAsia"/>
          <w:lang w:eastAsia="zh-CN"/>
        </w:rPr>
      </w:pPr>
      <w:r>
        <w:rPr>
          <w:rFonts w:hint="eastAsia"/>
          <w:lang w:eastAsia="zh-CN"/>
        </w:rPr>
        <w:t>But by late afternoon, Trump announced that the content of those notices would be postponed, with new measures taking effect only on August 1.</w:t>
      </w:r>
    </w:p>
    <w:p w14:paraId="43ACFA32">
      <w:pPr>
        <w:rPr>
          <w:rFonts w:hint="eastAsia"/>
          <w:lang w:eastAsia="zh-CN"/>
        </w:rPr>
      </w:pPr>
    </w:p>
    <w:p w14:paraId="2206A756">
      <w:pPr>
        <w:rPr>
          <w:rFonts w:hint="eastAsia"/>
          <w:lang w:eastAsia="zh-CN"/>
        </w:rPr>
      </w:pPr>
      <w:r>
        <w:rPr>
          <w:rFonts w:hint="eastAsia"/>
          <w:lang w:eastAsia="zh-CN"/>
        </w:rPr>
        <w:t>That retreat gave markets a renewed sense of direction and restored confidence. Therefore, I believe the indices are likely to continue reaching new highs on Tuesday.</w:t>
      </w:r>
    </w:p>
    <w:p w14:paraId="5D3C5ED7">
      <w:pPr>
        <w:rPr>
          <w:rFonts w:hint="eastAsia"/>
          <w:lang w:eastAsia="zh-CN"/>
        </w:rPr>
      </w:pPr>
    </w:p>
    <w:p w14:paraId="3FBC978B">
      <w:pPr>
        <w:rPr>
          <w:rFonts w:hint="eastAsia"/>
          <w:lang w:eastAsia="zh-CN"/>
        </w:rPr>
      </w:pPr>
      <w:r>
        <w:rPr>
          <w:rFonts w:hint="eastAsia"/>
          <w:lang w:eastAsia="zh-CN"/>
        </w:rPr>
        <w:t>In short, the signals generated by our quantitative strategy are once again turning constructive—pointing toward continued profit opportunities.</w:t>
      </w:r>
    </w:p>
    <w:p w14:paraId="536D7C27">
      <w:pPr>
        <w:rPr>
          <w:rFonts w:hint="eastAsia"/>
          <w:lang w:eastAsia="zh-CN"/>
        </w:rPr>
      </w:pPr>
    </w:p>
    <w:p w14:paraId="3908C5AE">
      <w:pPr>
        <w:rPr>
          <w:rFonts w:hint="eastAsia"/>
          <w:lang w:eastAsia="zh-CN"/>
        </w:rPr>
      </w:pPr>
    </w:p>
    <w:p w14:paraId="124E7908">
      <w:pPr>
        <w:rPr>
          <w:rFonts w:hint="eastAsia"/>
          <w:lang w:eastAsia="zh-CN"/>
        </w:rPr>
      </w:pPr>
    </w:p>
    <w:p w14:paraId="05EF23F9">
      <w:pPr>
        <w:rPr>
          <w:rFonts w:hint="eastAsia"/>
          <w:lang w:eastAsia="zh-CN"/>
        </w:rPr>
      </w:pPr>
    </w:p>
    <w:p w14:paraId="6BC772DE">
      <w:pPr>
        <w:rPr>
          <w:rFonts w:hint="eastAsia"/>
          <w:lang w:eastAsia="zh-CN"/>
        </w:rPr>
      </w:pPr>
      <w:r>
        <w:rPr>
          <w:rFonts w:hint="eastAsia"/>
          <w:lang w:eastAsia="zh-CN"/>
        </w:rPr>
        <w:t>Of course, we cannot rule out the possibility of market fluctuations on Tuesday, triggered by unexpected tariff-related announcements during intraday trading. However, such pullbacks should not necessarily be viewed as negative. On the contrary, they may present opportunities to enter positions at more favorable valuations—enhancing cost efficiency for disciplined investors.</w:t>
      </w:r>
    </w:p>
    <w:p w14:paraId="03008359">
      <w:pPr>
        <w:rPr>
          <w:rFonts w:hint="eastAsia"/>
          <w:lang w:eastAsia="zh-CN"/>
        </w:rPr>
      </w:pPr>
    </w:p>
    <w:p w14:paraId="770834EB">
      <w:pPr>
        <w:rPr>
          <w:rFonts w:hint="eastAsia"/>
          <w:lang w:eastAsia="zh-CN"/>
        </w:rPr>
      </w:pPr>
      <w:r>
        <w:rPr>
          <w:rFonts w:hint="eastAsia"/>
          <w:lang w:eastAsia="zh-CN"/>
        </w:rPr>
        <w:t>This brings us to the essential question:</w:t>
      </w:r>
    </w:p>
    <w:p w14:paraId="5B58C8D1">
      <w:pPr>
        <w:rPr>
          <w:rFonts w:hint="eastAsia"/>
          <w:lang w:eastAsia="zh-CN"/>
        </w:rPr>
      </w:pPr>
      <w:r>
        <w:rPr>
          <w:rFonts w:hint="eastAsia"/>
          <w:lang w:eastAsia="zh-CN"/>
        </w:rPr>
        <w:t>Why does President Trump repeatedly postpone the effective dates of his tariff measures?</w:t>
      </w:r>
    </w:p>
    <w:p w14:paraId="1533E5E7">
      <w:pPr>
        <w:rPr>
          <w:rFonts w:hint="eastAsia"/>
          <w:lang w:eastAsia="zh-CN"/>
        </w:rPr>
      </w:pPr>
      <w:r>
        <w:rPr>
          <w:rFonts w:hint="eastAsia"/>
          <w:lang w:eastAsia="zh-CN"/>
        </w:rPr>
        <w:t>If the intent is to pursue a trade war, why the recurring retreat?</w:t>
      </w:r>
    </w:p>
    <w:p w14:paraId="4F3E7E18">
      <w:pPr>
        <w:rPr>
          <w:rFonts w:hint="eastAsia"/>
          <w:lang w:eastAsia="zh-CN"/>
        </w:rPr>
      </w:pPr>
    </w:p>
    <w:p w14:paraId="5AA79F89">
      <w:pPr>
        <w:rPr>
          <w:rFonts w:hint="eastAsia"/>
          <w:lang w:eastAsia="zh-CN"/>
        </w:rPr>
      </w:pPr>
      <w:r>
        <w:rPr>
          <w:rFonts w:hint="eastAsia"/>
          <w:lang w:eastAsia="zh-CN"/>
        </w:rPr>
        <w:t>The answer lies in a fundamental strategic consideration.</w:t>
      </w:r>
    </w:p>
    <w:p w14:paraId="183743DC">
      <w:pPr>
        <w:rPr>
          <w:rFonts w:hint="eastAsia"/>
          <w:lang w:eastAsia="zh-CN"/>
        </w:rPr>
      </w:pPr>
      <w:r>
        <w:rPr>
          <w:rFonts w:hint="eastAsia"/>
          <w:lang w:eastAsia="zh-CN"/>
        </w:rPr>
        <w:t>Should these tariffs take effect immediately, the economic and market impact would be significant—possibly triggering severe equity market declines. But in reality, we have yet to witness such a scenario unfold.</w:t>
      </w:r>
    </w:p>
    <w:p w14:paraId="203E77D7">
      <w:pPr>
        <w:rPr>
          <w:rFonts w:hint="eastAsia"/>
          <w:lang w:eastAsia="zh-CN"/>
        </w:rPr>
      </w:pPr>
    </w:p>
    <w:p w14:paraId="61144751">
      <w:pPr>
        <w:rPr>
          <w:rFonts w:hint="eastAsia"/>
          <w:lang w:eastAsia="zh-CN"/>
        </w:rPr>
      </w:pPr>
      <w:r>
        <w:rPr>
          <w:rFonts w:hint="eastAsia"/>
          <w:lang w:eastAsia="zh-CN"/>
        </w:rPr>
        <w:t>Take the market decline in April, for example. It occurred because the market had not yet identified the presence of the TACO effect. Investors at the time assumed the tariffs would take effect as scheduled and priced in the expected economic impact.</w:t>
      </w:r>
    </w:p>
    <w:p w14:paraId="70E29BBF">
      <w:pPr>
        <w:rPr>
          <w:rFonts w:hint="eastAsia"/>
          <w:lang w:eastAsia="zh-CN"/>
        </w:rPr>
      </w:pPr>
    </w:p>
    <w:p w14:paraId="63C18D75">
      <w:pPr>
        <w:rPr>
          <w:rFonts w:hint="eastAsia"/>
          <w:lang w:eastAsia="zh-CN"/>
        </w:rPr>
      </w:pPr>
      <w:r>
        <w:rPr>
          <w:rFonts w:hint="eastAsia"/>
          <w:lang w:eastAsia="zh-CN"/>
        </w:rPr>
        <w:t>But now, the market has recognized the pattern.</w:t>
      </w:r>
    </w:p>
    <w:p w14:paraId="69A52EC7">
      <w:pPr>
        <w:rPr>
          <w:rFonts w:hint="eastAsia"/>
          <w:lang w:eastAsia="zh-CN"/>
        </w:rPr>
      </w:pPr>
    </w:p>
    <w:p w14:paraId="1B402051">
      <w:pPr>
        <w:rPr>
          <w:rFonts w:hint="eastAsia"/>
          <w:lang w:eastAsia="zh-CN"/>
        </w:rPr>
      </w:pPr>
      <w:r>
        <w:rPr>
          <w:rFonts w:hint="eastAsia"/>
          <w:lang w:eastAsia="zh-CN"/>
        </w:rPr>
        <w:t>Because of that recognition, the same behavior—delaying tariffs—is now being read very differently: not as a threat, but as a potential positive for market performance.</w:t>
      </w:r>
    </w:p>
    <w:p w14:paraId="17758B5B">
      <w:pPr>
        <w:rPr>
          <w:rFonts w:hint="eastAsia"/>
          <w:lang w:eastAsia="zh-CN"/>
        </w:rPr>
      </w:pPr>
      <w:r>
        <w:rPr>
          <w:rFonts w:hint="eastAsia"/>
          <w:lang w:eastAsia="zh-CN"/>
        </w:rPr>
        <w:t>In other words, what once drove fear now signals flexibility—and in that, the market finds reassurance.</w:t>
      </w:r>
    </w:p>
    <w:p w14:paraId="389C8016">
      <w:pPr>
        <w:rPr>
          <w:rFonts w:hint="eastAsia"/>
          <w:lang w:eastAsia="zh-CN"/>
        </w:rPr>
      </w:pPr>
    </w:p>
    <w:p w14:paraId="1DECE29F">
      <w:pPr>
        <w:rPr>
          <w:rFonts w:hint="eastAsia"/>
          <w:lang w:eastAsia="zh-CN"/>
        </w:rPr>
      </w:pPr>
    </w:p>
    <w:p w14:paraId="2A2B2DFD">
      <w:pPr>
        <w:rPr>
          <w:rFonts w:hint="eastAsia"/>
          <w:lang w:eastAsia="zh-CN"/>
        </w:rPr>
      </w:pPr>
    </w:p>
    <w:p w14:paraId="3723CF0E">
      <w:pPr>
        <w:rPr>
          <w:rFonts w:hint="eastAsia"/>
          <w:lang w:eastAsia="zh-CN"/>
        </w:rPr>
      </w:pPr>
    </w:p>
    <w:p w14:paraId="380EBBAA">
      <w:pPr>
        <w:rPr>
          <w:rFonts w:hint="eastAsia"/>
          <w:lang w:eastAsia="zh-CN"/>
        </w:rPr>
      </w:pPr>
      <w:r>
        <w:rPr>
          <w:rFonts w:hint="eastAsia"/>
          <w:lang w:eastAsia="zh-CN"/>
        </w:rPr>
        <w:t>So how can we confirm whether this shift in sentiment is indeed constructive? Two key indicators offer clarity:</w:t>
      </w:r>
    </w:p>
    <w:p w14:paraId="33FF410D">
      <w:pPr>
        <w:rPr>
          <w:rFonts w:hint="eastAsia"/>
          <w:lang w:eastAsia="zh-CN"/>
        </w:rPr>
      </w:pPr>
    </w:p>
    <w:p w14:paraId="149CFF29">
      <w:pPr>
        <w:rPr>
          <w:rFonts w:hint="eastAsia"/>
          <w:lang w:eastAsia="zh-CN"/>
        </w:rPr>
      </w:pPr>
      <w:r>
        <w:rPr>
          <w:rFonts w:hint="eastAsia"/>
          <w:lang w:eastAsia="zh-CN"/>
        </w:rPr>
        <w:t>1. The Volatility Index (VIX) – Often referred to as the “fear gauge,” a spike followed by a swift retreat in the VIX suggests that market anxiety is subsiding. It’s a relatively straightforward read on collective investor emotion.</w:t>
      </w:r>
    </w:p>
    <w:p w14:paraId="09B6DAD1">
      <w:pPr>
        <w:rPr>
          <w:rFonts w:hint="eastAsia"/>
          <w:lang w:eastAsia="zh-CN"/>
        </w:rPr>
      </w:pPr>
    </w:p>
    <w:p w14:paraId="043D523F">
      <w:pPr>
        <w:rPr>
          <w:rFonts w:hint="eastAsia"/>
          <w:lang w:eastAsia="zh-CN"/>
        </w:rPr>
      </w:pPr>
      <w:r>
        <w:rPr>
          <w:rFonts w:hint="eastAsia"/>
          <w:lang w:eastAsia="zh-CN"/>
        </w:rPr>
        <w:t>2. Historical patterns following all-time highs in U.S. equity indices, such as the S&amp;P 500 (.SPC) and the Nasdaq Composite (.IXIC). Based on Acumeta’s data models and chart-based analytics, we observe a consistent pattern: after the indices break through previous record highs, the market typically experiences an additional rally of approximately 10% before encountering any significant pullback.</w:t>
      </w:r>
    </w:p>
    <w:p w14:paraId="0079AF1A">
      <w:pPr>
        <w:rPr>
          <w:rFonts w:hint="eastAsia"/>
          <w:lang w:eastAsia="zh-CN"/>
        </w:rPr>
      </w:pPr>
    </w:p>
    <w:p w14:paraId="591414A1">
      <w:pPr>
        <w:rPr>
          <w:rFonts w:hint="eastAsia"/>
          <w:lang w:eastAsia="zh-CN"/>
        </w:rPr>
      </w:pPr>
      <w:r>
        <w:rPr>
          <w:rFonts w:hint="eastAsia"/>
          <w:lang w:eastAsia="zh-CN"/>
        </w:rPr>
        <w:t>Applied to the current cycle—following the recent breakout above 6,147—this would imply that the index may continue rising toward the 6,700 level before a larger downside risk becomes materially relevant.</w:t>
      </w:r>
    </w:p>
    <w:p w14:paraId="4A314ECB">
      <w:pPr>
        <w:rPr>
          <w:rFonts w:hint="eastAsia"/>
          <w:lang w:eastAsia="zh-CN"/>
        </w:rPr>
      </w:pPr>
    </w:p>
    <w:p w14:paraId="6F9A3DB4">
      <w:pPr>
        <w:rPr>
          <w:rFonts w:hint="eastAsia"/>
          <w:lang w:eastAsia="zh-CN"/>
        </w:rPr>
      </w:pPr>
      <w:r>
        <w:rPr>
          <w:rFonts w:hint="eastAsia"/>
          <w:lang w:eastAsia="zh-CN"/>
        </w:rPr>
        <w:t>In short, we are still within a relatively favorable trading window. And with the support of our compensation-backed, verified quantitative strategy signals, the safety margin for each participant in our community forum sessions has been meaningfully enhanced.</w:t>
      </w:r>
    </w:p>
    <w:p w14:paraId="5C2C3B55">
      <w:pPr>
        <w:rPr>
          <w:rFonts w:hint="eastAsia"/>
          <w:lang w:eastAsia="zh-CN"/>
        </w:rPr>
      </w:pPr>
    </w:p>
    <w:p w14:paraId="292481BC">
      <w:pPr>
        <w:rPr>
          <w:rFonts w:hint="eastAsia"/>
          <w:lang w:eastAsia="zh-CN"/>
        </w:rPr>
      </w:pPr>
      <w:r>
        <w:rPr>
          <w:rFonts w:hint="eastAsia"/>
          <w:lang w:eastAsia="zh-CN"/>
        </w:rPr>
        <w:t>Do you find this form of verified, risk-controlled trading reassuring?</w:t>
      </w:r>
    </w:p>
    <w:p w14:paraId="51C3323C">
      <w:pPr>
        <w:rPr>
          <w:rFonts w:hint="eastAsia"/>
          <w:lang w:eastAsia="zh-CN"/>
        </w:rPr>
      </w:pPr>
    </w:p>
    <w:p w14:paraId="0C6A86A7">
      <w:pPr>
        <w:rPr>
          <w:rFonts w:hint="eastAsia"/>
          <w:lang w:eastAsia="zh-CN"/>
        </w:rPr>
      </w:pPr>
    </w:p>
    <w:p w14:paraId="1049E790">
      <w:pPr>
        <w:rPr>
          <w:rFonts w:hint="eastAsia"/>
          <w:lang w:eastAsia="zh-CN"/>
        </w:rPr>
      </w:pPr>
    </w:p>
    <w:p w14:paraId="1F223756">
      <w:pPr>
        <w:rPr>
          <w:rFonts w:hint="eastAsia"/>
          <w:lang w:eastAsia="zh-CN"/>
        </w:rPr>
      </w:pPr>
    </w:p>
    <w:p w14:paraId="792981C3">
      <w:pPr>
        <w:rPr>
          <w:rFonts w:hint="eastAsia"/>
          <w:lang w:eastAsia="zh-CN"/>
        </w:rPr>
      </w:pPr>
      <w:r>
        <w:rPr>
          <w:rFonts w:hint="eastAsia"/>
          <w:lang w:eastAsia="zh-CN"/>
        </w:rPr>
        <w:t>While our compensation-backed validation program may set certain boundaries around trade size during the initial testing phase, it does not limit your discretion to scale your positions independently.</w:t>
      </w:r>
    </w:p>
    <w:p w14:paraId="1E682EF8">
      <w:pPr>
        <w:rPr>
          <w:rFonts w:hint="eastAsia"/>
          <w:lang w:eastAsia="zh-CN"/>
        </w:rPr>
      </w:pPr>
    </w:p>
    <w:p w14:paraId="4584FCB9">
      <w:pPr>
        <w:rPr>
          <w:rFonts w:hint="eastAsia"/>
          <w:lang w:eastAsia="zh-CN"/>
        </w:rPr>
      </w:pPr>
      <w:r>
        <w:rPr>
          <w:rFonts w:hint="eastAsia"/>
          <w:lang w:eastAsia="zh-CN"/>
        </w:rPr>
        <w:t>If you’ve gone through several rounds of successful validations and found that our quantitative strategies demonstrate consistency and effectiveness, then naturally, you are free to increase your exposure—provided it aligns with your capital framework and individual risk tolerance.</w:t>
      </w:r>
    </w:p>
    <w:p w14:paraId="40D9D7AC">
      <w:pPr>
        <w:rPr>
          <w:rFonts w:hint="eastAsia"/>
          <w:lang w:eastAsia="zh-CN"/>
        </w:rPr>
      </w:pPr>
    </w:p>
    <w:p w14:paraId="71F6B9EF">
      <w:pPr>
        <w:rPr>
          <w:rFonts w:hint="eastAsia"/>
          <w:lang w:eastAsia="zh-CN"/>
        </w:rPr>
      </w:pPr>
      <w:r>
        <w:rPr>
          <w:rFonts w:hint="eastAsia"/>
          <w:lang w:eastAsia="zh-CN"/>
        </w:rPr>
        <w:t>The purpose of our capital protection mechanism is to encourage participation in the strategy itself—to allow you to test our equity and equity-option signals in a structured, risk-mitigated environment. If a trade, once initiated, fails to reach profitability within a predefined time frame, the compensation-backed system is activated. We document the outcome, and compensation is processed in a coordinated and transparent manner.</w:t>
      </w:r>
    </w:p>
    <w:p w14:paraId="148CFBD2">
      <w:pPr>
        <w:rPr>
          <w:rFonts w:hint="eastAsia"/>
          <w:lang w:eastAsia="zh-CN"/>
        </w:rPr>
      </w:pPr>
    </w:p>
    <w:p w14:paraId="084BB037">
      <w:pPr>
        <w:rPr>
          <w:rFonts w:hint="eastAsia"/>
          <w:lang w:eastAsia="zh-CN"/>
        </w:rPr>
      </w:pPr>
      <w:r>
        <w:rPr>
          <w:rFonts w:hint="eastAsia"/>
          <w:lang w:eastAsia="zh-CN"/>
        </w:rPr>
        <w:t>Conversely, if a trade generates a verified profit, that in itself affirms the efficacy of the signal. In such cases, the decision to take profit may rest with you directly—or you may choose to follow the guidance shared through our community forum sessions, or consult with one of my assistants for a suggested closing protocol.</w:t>
      </w:r>
    </w:p>
    <w:p w14:paraId="2D84EDEE">
      <w:pPr>
        <w:rPr>
          <w:rFonts w:hint="eastAsia"/>
          <w:lang w:eastAsia="zh-CN"/>
        </w:rPr>
      </w:pPr>
    </w:p>
    <w:p w14:paraId="156D748B">
      <w:pPr>
        <w:rPr>
          <w:rFonts w:hint="eastAsia"/>
          <w:lang w:eastAsia="zh-CN"/>
        </w:rPr>
      </w:pPr>
      <w:r>
        <w:rPr>
          <w:rFonts w:hint="eastAsia"/>
          <w:lang w:eastAsia="zh-CN"/>
        </w:rPr>
        <w:t>Do you see now the underlying purpose of this framework?</w:t>
      </w:r>
    </w:p>
    <w:p w14:paraId="7830CEA8">
      <w:pPr>
        <w:rPr>
          <w:rFonts w:hint="eastAsia"/>
          <w:lang w:eastAsia="zh-CN"/>
        </w:rPr>
      </w:pPr>
    </w:p>
    <w:p w14:paraId="2B865D55">
      <w:pPr>
        <w:rPr>
          <w:rFonts w:hint="eastAsia"/>
          <w:lang w:eastAsia="zh-CN"/>
        </w:rPr>
      </w:pPr>
    </w:p>
    <w:p w14:paraId="4A48AE31">
      <w:pPr>
        <w:rPr>
          <w:rFonts w:hint="eastAsia"/>
          <w:lang w:eastAsia="zh-CN"/>
        </w:rPr>
      </w:pPr>
    </w:p>
    <w:p w14:paraId="73C5914A">
      <w:pPr>
        <w:rPr>
          <w:rFonts w:hint="eastAsia"/>
          <w:lang w:eastAsia="zh-CN"/>
        </w:rPr>
      </w:pPr>
    </w:p>
    <w:p w14:paraId="4485650E">
      <w:pPr>
        <w:rPr>
          <w:rFonts w:hint="eastAsia"/>
          <w:lang w:eastAsia="zh-CN"/>
        </w:rPr>
      </w:pPr>
    </w:p>
    <w:p w14:paraId="073E7543">
      <w:r>
        <w:drawing>
          <wp:inline distT="0" distB="0" distL="114300" distR="114300">
            <wp:extent cx="5266690" cy="2375535"/>
            <wp:effectExtent l="0" t="0" r="1016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a:stretch>
                      <a:fillRect/>
                    </a:stretch>
                  </pic:blipFill>
                  <pic:spPr>
                    <a:xfrm>
                      <a:off x="0" y="0"/>
                      <a:ext cx="5266690" cy="2375535"/>
                    </a:xfrm>
                    <a:prstGeom prst="rect">
                      <a:avLst/>
                    </a:prstGeom>
                    <a:noFill/>
                    <a:ln>
                      <a:noFill/>
                    </a:ln>
                  </pic:spPr>
                </pic:pic>
              </a:graphicData>
            </a:graphic>
          </wp:inline>
        </w:drawing>
      </w:r>
    </w:p>
    <w:p w14:paraId="28BB7786">
      <w:pPr>
        <w:rPr>
          <w:rFonts w:hint="eastAsia"/>
        </w:rPr>
      </w:pPr>
      <w:r>
        <w:rPr>
          <w:rFonts w:hint="eastAsia"/>
        </w:rPr>
        <w:t>Returning to the topic of tariff dynamics within our current analytical framework—why has President Trump repeatedly chosen to postpone the effective dates of tariff enforcement?</w:t>
      </w:r>
    </w:p>
    <w:p w14:paraId="034BB031">
      <w:pPr>
        <w:rPr>
          <w:rFonts w:hint="eastAsia"/>
        </w:rPr>
      </w:pPr>
    </w:p>
    <w:p w14:paraId="71B357C7">
      <w:pPr>
        <w:rPr>
          <w:rFonts w:hint="eastAsia"/>
        </w:rPr>
      </w:pPr>
      <w:r>
        <w:rPr>
          <w:rFonts w:hint="eastAsia"/>
        </w:rPr>
        <w:t>In yesterday’s session, many members of our community forum followed my extended analysis on the underlying motives behind the tariff measures. Today, I’d like to continue that discussion.</w:t>
      </w:r>
    </w:p>
    <w:p w14:paraId="4A508424">
      <w:pPr>
        <w:rPr>
          <w:rFonts w:hint="eastAsia"/>
        </w:rPr>
      </w:pPr>
    </w:p>
    <w:p w14:paraId="26B1E878">
      <w:pPr>
        <w:rPr>
          <w:rFonts w:hint="eastAsia"/>
        </w:rPr>
      </w:pPr>
      <w:r>
        <w:rPr>
          <w:rFonts w:hint="eastAsia"/>
        </w:rPr>
        <w:t>The repeated delays serve a strategic purpose: to create more room for negotiation. But what exactly is being negotiated?</w:t>
      </w:r>
    </w:p>
    <w:p w14:paraId="077C93E7">
      <w:pPr>
        <w:rPr>
          <w:rFonts w:hint="eastAsia"/>
        </w:rPr>
      </w:pPr>
    </w:p>
    <w:p w14:paraId="4ACF0B96">
      <w:pPr>
        <w:rPr>
          <w:rFonts w:hint="eastAsia"/>
        </w:rPr>
      </w:pPr>
      <w:r>
        <w:rPr>
          <w:rFonts w:hint="eastAsia"/>
        </w:rPr>
        <w:t>At the center of it is the issue of the trade deficit.</w:t>
      </w:r>
    </w:p>
    <w:p w14:paraId="0D712E08">
      <w:pPr>
        <w:rPr>
          <w:rFonts w:hint="eastAsia"/>
        </w:rPr>
      </w:pPr>
    </w:p>
    <w:p w14:paraId="7DE19FD6">
      <w:pPr>
        <w:rPr>
          <w:rFonts w:hint="eastAsia"/>
        </w:rPr>
      </w:pPr>
      <w:r>
        <w:rPr>
          <w:rFonts w:hint="eastAsia"/>
        </w:rPr>
        <w:t>Put plainly, a trade deficit occurs when a country buys more from the rest of the world than it sells to it.</w:t>
      </w:r>
    </w:p>
    <w:p w14:paraId="51FF1C6C">
      <w:pPr>
        <w:rPr>
          <w:rFonts w:hint="eastAsia"/>
        </w:rPr>
      </w:pPr>
      <w:r>
        <w:rPr>
          <w:rFonts w:hint="eastAsia"/>
        </w:rPr>
        <w:t>That is: the total value of a nation’s imports exceeds the total value of its exports.</w:t>
      </w:r>
    </w:p>
    <w:p w14:paraId="0117E8FD">
      <w:pPr>
        <w:rPr>
          <w:rFonts w:hint="eastAsia"/>
        </w:rPr>
      </w:pPr>
      <w:r>
        <w:rPr>
          <w:rFonts w:hint="eastAsia"/>
        </w:rPr>
        <w:t>In practical terms, it means the country is spending more on foreign goods and services than it is earning through international trade.</w:t>
      </w:r>
    </w:p>
    <w:p w14:paraId="371ACD49">
      <w:pPr>
        <w:rPr>
          <w:rFonts w:hint="eastAsia"/>
        </w:rPr>
      </w:pPr>
    </w:p>
    <w:p w14:paraId="36A061BC">
      <w:pPr>
        <w:rPr>
          <w:rFonts w:hint="eastAsia"/>
        </w:rPr>
      </w:pPr>
    </w:p>
    <w:p w14:paraId="5950853A">
      <w:pPr>
        <w:rPr>
          <w:rFonts w:hint="eastAsia"/>
        </w:rPr>
      </w:pPr>
    </w:p>
    <w:p w14:paraId="3BD06883">
      <w:pPr>
        <w:rPr>
          <w:rFonts w:hint="eastAsia"/>
        </w:rPr>
      </w:pPr>
    </w:p>
    <w:p w14:paraId="00810A44">
      <w:pPr>
        <w:rPr>
          <w:rFonts w:hint="eastAsia"/>
        </w:rPr>
      </w:pPr>
    </w:p>
    <w:p w14:paraId="1356258F">
      <w:pPr>
        <w:rPr>
          <w:rFonts w:hint="eastAsia"/>
        </w:rPr>
      </w:pPr>
      <w:r>
        <w:rPr>
          <w:rFonts w:hint="eastAsia"/>
        </w:rPr>
        <w:t>An Illustrative Example</w:t>
      </w:r>
    </w:p>
    <w:p w14:paraId="18B3AD8E">
      <w:pPr>
        <w:rPr>
          <w:rFonts w:hint="eastAsia"/>
        </w:rPr>
      </w:pPr>
      <w:r>
        <w:rPr>
          <w:rFonts w:hint="eastAsia"/>
        </w:rPr>
        <w:t>Let’s take the United States as a case in point—a nation that has long operated under a substantial trade deficit.</w:t>
      </w:r>
    </w:p>
    <w:p w14:paraId="2410311F">
      <w:pPr>
        <w:rPr>
          <w:rFonts w:hint="eastAsia"/>
        </w:rPr>
      </w:pPr>
    </w:p>
    <w:p w14:paraId="1B77A07E">
      <w:pPr>
        <w:rPr>
          <w:rFonts w:hint="eastAsia"/>
        </w:rPr>
      </w:pPr>
      <w:r>
        <w:rPr>
          <w:rFonts w:hint="eastAsia"/>
        </w:rPr>
        <w:t>Imagine, in a given year:</w:t>
      </w:r>
    </w:p>
    <w:p w14:paraId="44B86BDA">
      <w:pPr>
        <w:rPr>
          <w:rFonts w:hint="eastAsia"/>
        </w:rPr>
      </w:pPr>
    </w:p>
    <w:p w14:paraId="076EB5DC">
      <w:pPr>
        <w:rPr>
          <w:rFonts w:hint="eastAsia"/>
        </w:rPr>
      </w:pPr>
      <w:r>
        <w:rPr>
          <w:rFonts w:hint="eastAsia"/>
        </w:rPr>
        <w:t>U.S. exports: American goods and services sold abroad—to countries like China, Europe, and Japan—such as Boeing aircraft, Intel semiconductors, and Hollywood film rights, amount to $2.5 trillion.</w:t>
      </w:r>
    </w:p>
    <w:p w14:paraId="232A81DA">
      <w:pPr>
        <w:rPr>
          <w:rFonts w:hint="eastAsia"/>
        </w:rPr>
      </w:pPr>
    </w:p>
    <w:p w14:paraId="0D721E1D">
      <w:pPr>
        <w:rPr>
          <w:rFonts w:hint="eastAsia"/>
        </w:rPr>
      </w:pPr>
      <w:r>
        <w:rPr>
          <w:rFonts w:hint="eastAsia"/>
        </w:rPr>
        <w:t>U.S. imports: Meanwhile, the country purchases goods and services from abroad—apparel from China, automobiles from Germany, oil from Saudi Arabia—totaling $3.5 trillion.</w:t>
      </w:r>
    </w:p>
    <w:p w14:paraId="65A9499C">
      <w:pPr>
        <w:rPr>
          <w:rFonts w:hint="eastAsia"/>
        </w:rPr>
      </w:pPr>
    </w:p>
    <w:p w14:paraId="601DEFB9">
      <w:pPr>
        <w:rPr>
          <w:rFonts w:hint="eastAsia"/>
        </w:rPr>
      </w:pPr>
      <w:r>
        <w:rPr>
          <w:rFonts w:hint="eastAsia"/>
        </w:rPr>
        <w:t>In this scenario, the U.S. runs a trade deficit of:</w:t>
      </w:r>
    </w:p>
    <w:p w14:paraId="73176498">
      <w:pPr>
        <w:rPr>
          <w:rFonts w:hint="eastAsia"/>
        </w:rPr>
      </w:pPr>
      <w:r>
        <w:rPr>
          <w:rFonts w:hint="eastAsia"/>
        </w:rPr>
        <w:t>$3.5 trillion (imports) – $2.5 trillion (exports) = $1 trillion in trade deficit.</w:t>
      </w:r>
    </w:p>
    <w:p w14:paraId="28DE2E1F">
      <w:pPr>
        <w:rPr>
          <w:rFonts w:hint="eastAsia"/>
        </w:rPr>
      </w:pPr>
    </w:p>
    <w:p w14:paraId="083B6789">
      <w:pPr>
        <w:rPr>
          <w:rFonts w:hint="eastAsia"/>
        </w:rPr>
      </w:pPr>
      <w:r>
        <w:rPr>
          <w:rFonts w:hint="eastAsia"/>
        </w:rPr>
        <w:t>In essence, the United States spent $1 trillion more on goods and services from other nations than it earned from selling its own. That money—capital—flows outward.</w:t>
      </w:r>
    </w:p>
    <w:p w14:paraId="36462893">
      <w:pPr>
        <w:rPr>
          <w:rFonts w:hint="eastAsia"/>
        </w:rPr>
      </w:pPr>
    </w:p>
    <w:p w14:paraId="1B26135A">
      <w:pPr>
        <w:rPr>
          <w:rFonts w:hint="eastAsia"/>
        </w:rPr>
      </w:pPr>
      <w:r>
        <w:rPr>
          <w:rFonts w:hint="eastAsia"/>
        </w:rPr>
        <w:t>To put it more plainly:</w:t>
      </w:r>
    </w:p>
    <w:p w14:paraId="43F3A6D6">
      <w:pPr>
        <w:rPr>
          <w:rFonts w:hint="eastAsia"/>
        </w:rPr>
      </w:pPr>
      <w:r>
        <w:rPr>
          <w:rFonts w:hint="eastAsia"/>
        </w:rPr>
        <w:t>Imagine Smith’s Shop sells just $200 worth of goods each month to Peter’s Store, but buys $1,000 worth of supplies from Peter in return.</w:t>
      </w:r>
    </w:p>
    <w:p w14:paraId="1960C53E">
      <w:pPr>
        <w:rPr>
          <w:rFonts w:hint="eastAsia"/>
        </w:rPr>
      </w:pPr>
      <w:r>
        <w:rPr>
          <w:rFonts w:hint="eastAsia"/>
        </w:rPr>
        <w:t>Smith has effectively spent $800 more than he earned in that trade relationship.</w:t>
      </w:r>
    </w:p>
    <w:p w14:paraId="6A6862EF">
      <w:pPr>
        <w:rPr>
          <w:rFonts w:hint="eastAsia"/>
        </w:rPr>
      </w:pPr>
      <w:r>
        <w:rPr>
          <w:rFonts w:hint="eastAsia"/>
        </w:rPr>
        <w:t>We would say: Smith runs an $800 trade deficit with Peter.</w:t>
      </w:r>
    </w:p>
    <w:p w14:paraId="3784633F">
      <w:pPr>
        <w:rPr>
          <w:rFonts w:hint="eastAsia"/>
        </w:rPr>
      </w:pPr>
    </w:p>
    <w:p w14:paraId="4E0E325A">
      <w:pPr>
        <w:rPr>
          <w:rFonts w:hint="eastAsia"/>
        </w:rPr>
      </w:pPr>
      <w:r>
        <w:rPr>
          <w:rFonts w:hint="eastAsia"/>
        </w:rPr>
        <w:t>When you buy more than you sell, the money leaves your pocket.</w:t>
      </w:r>
    </w:p>
    <w:p w14:paraId="447B2504">
      <w:pPr>
        <w:rPr>
          <w:rFonts w:hint="eastAsia"/>
        </w:rPr>
      </w:pPr>
      <w:r>
        <w:rPr>
          <w:rFonts w:hint="eastAsia"/>
        </w:rPr>
        <w:t>That, at its core, is what a trade deficit represents.</w:t>
      </w:r>
    </w:p>
    <w:p w14:paraId="498746D4">
      <w:pPr>
        <w:rPr>
          <w:rFonts w:hint="eastAsia"/>
        </w:rPr>
      </w:pPr>
    </w:p>
    <w:p w14:paraId="3275FE14">
      <w:pPr>
        <w:rPr>
          <w:rFonts w:hint="eastAsia"/>
        </w:rPr>
      </w:pPr>
    </w:p>
    <w:p w14:paraId="3BCD39F7">
      <w:pPr>
        <w:rPr>
          <w:rFonts w:hint="eastAsia"/>
        </w:rPr>
      </w:pPr>
    </w:p>
    <w:p w14:paraId="629E041E">
      <w:pPr>
        <w:rPr>
          <w:rFonts w:hint="eastAsia"/>
        </w:rPr>
      </w:pPr>
    </w:p>
    <w:p w14:paraId="57B3F47F">
      <w:r>
        <w:drawing>
          <wp:inline distT="0" distB="0" distL="114300" distR="114300">
            <wp:extent cx="5266690" cy="4229735"/>
            <wp:effectExtent l="0" t="0" r="10160" b="184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a:stretch>
                      <a:fillRect/>
                    </a:stretch>
                  </pic:blipFill>
                  <pic:spPr>
                    <a:xfrm>
                      <a:off x="0" y="0"/>
                      <a:ext cx="5266690" cy="4229735"/>
                    </a:xfrm>
                    <a:prstGeom prst="rect">
                      <a:avLst/>
                    </a:prstGeom>
                    <a:noFill/>
                    <a:ln>
                      <a:noFill/>
                    </a:ln>
                  </pic:spPr>
                </pic:pic>
              </a:graphicData>
            </a:graphic>
          </wp:inline>
        </w:drawing>
      </w:r>
    </w:p>
    <w:p w14:paraId="133BA242">
      <w:pPr>
        <w:rPr>
          <w:rFonts w:hint="eastAsia"/>
        </w:rPr>
      </w:pPr>
      <w:r>
        <w:rPr>
          <w:rFonts w:hint="eastAsia"/>
        </w:rPr>
        <w:t>Why Has President Trump Chosen to Make the U.S. Trade Deficit a Central Point of Negotiation?</w:t>
      </w:r>
    </w:p>
    <w:p w14:paraId="47CDFF8F">
      <w:pPr>
        <w:rPr>
          <w:rFonts w:hint="eastAsia"/>
        </w:rPr>
      </w:pPr>
    </w:p>
    <w:p w14:paraId="0DBAC266">
      <w:pPr>
        <w:rPr>
          <w:rFonts w:hint="eastAsia"/>
        </w:rPr>
      </w:pPr>
      <w:r>
        <w:rPr>
          <w:rFonts w:hint="eastAsia"/>
        </w:rPr>
        <w:t>The concern stems from several perceived risks associated with sustained trade deficits—risks that, while nuanced, carry long-term structural implications for the domestic economy.</w:t>
      </w:r>
    </w:p>
    <w:p w14:paraId="50B0FE60">
      <w:pPr>
        <w:rPr>
          <w:rFonts w:hint="eastAsia"/>
        </w:rPr>
      </w:pPr>
    </w:p>
    <w:p w14:paraId="67A3A266">
      <w:pPr>
        <w:rPr>
          <w:rFonts w:hint="eastAsia"/>
        </w:rPr>
      </w:pPr>
      <w:r>
        <w:rPr>
          <w:rFonts w:hint="eastAsia"/>
        </w:rPr>
        <w:t>1. Loss of Domestic Employment Opportunities</w:t>
      </w:r>
    </w:p>
    <w:p w14:paraId="0B3FFF19">
      <w:pPr>
        <w:rPr>
          <w:rFonts w:hint="eastAsia"/>
        </w:rPr>
      </w:pPr>
      <w:r>
        <w:rPr>
          <w:rFonts w:hint="eastAsia"/>
        </w:rPr>
        <w:t>When a country imports significantly more than it exports, domestic producers may struggle to compete with cheaper or more accessible foreign goods. This can lead to downsizing or closures in local manufacturing, contributing to job losses—particularly in industrial regions. This has been a consistent refrain in the Trump administration’s economic rhetoric.</w:t>
      </w:r>
    </w:p>
    <w:p w14:paraId="55723A81">
      <w:pPr>
        <w:rPr>
          <w:rFonts w:hint="eastAsia"/>
        </w:rPr>
      </w:pPr>
    </w:p>
    <w:p w14:paraId="006836D1">
      <w:pPr>
        <w:rPr>
          <w:rFonts w:hint="eastAsia"/>
        </w:rPr>
      </w:pPr>
      <w:r>
        <w:rPr>
          <w:rFonts w:hint="eastAsia"/>
        </w:rPr>
        <w:t>2. Industrial Hollowing-Out</w:t>
      </w:r>
    </w:p>
    <w:p w14:paraId="119788B4">
      <w:pPr>
        <w:rPr>
          <w:rFonts w:hint="eastAsia"/>
        </w:rPr>
      </w:pPr>
      <w:r>
        <w:rPr>
          <w:rFonts w:hint="eastAsia"/>
        </w:rPr>
        <w:t>Overreliance on imports may result in the gradual erosion of key domestic industries. As certain sectors shrink or disappear altogether, the nation risks losing not only its industrial capacity, but also its strategic autonomy. Economic resilience weakens when foundational industries are outsourced or neglected.</w:t>
      </w:r>
    </w:p>
    <w:p w14:paraId="7FA2CD37">
      <w:pPr>
        <w:rPr>
          <w:rFonts w:hint="eastAsia"/>
        </w:rPr>
      </w:pPr>
    </w:p>
    <w:p w14:paraId="32214A23">
      <w:pPr>
        <w:rPr>
          <w:rFonts w:hint="eastAsia"/>
        </w:rPr>
      </w:pPr>
      <w:r>
        <w:rPr>
          <w:rFonts w:hint="eastAsia"/>
        </w:rPr>
        <w:t>3. Rising External Debt</w:t>
      </w:r>
    </w:p>
    <w:p w14:paraId="57A842DD">
      <w:pPr>
        <w:rPr>
          <w:rFonts w:hint="eastAsia"/>
        </w:rPr>
      </w:pPr>
      <w:r>
        <w:rPr>
          <w:rFonts w:hint="eastAsia"/>
        </w:rPr>
        <w:t>A persistent trade deficit implies that a country is consuming more than it produces and must finance that imbalance through borrowing or foreign investment inflows. Over time, this can lead to a significant buildup of external liabilities, raising concerns about fiscal sustainability and sovereign exposure.</w:t>
      </w:r>
    </w:p>
    <w:p w14:paraId="0B49FE3C">
      <w:pPr>
        <w:rPr>
          <w:rFonts w:hint="eastAsia"/>
        </w:rPr>
      </w:pPr>
    </w:p>
    <w:p w14:paraId="44028DEB">
      <w:pPr>
        <w:rPr>
          <w:rFonts w:hint="eastAsia"/>
        </w:rPr>
      </w:pPr>
      <w:r>
        <w:rPr>
          <w:rFonts w:hint="eastAsia"/>
        </w:rPr>
        <w:t>4. Downward Pressure on the Domestic Currency</w:t>
      </w:r>
    </w:p>
    <w:p w14:paraId="64A633CB">
      <w:pPr>
        <w:rPr>
          <w:rFonts w:hint="eastAsia"/>
        </w:rPr>
      </w:pPr>
      <w:r>
        <w:rPr>
          <w:rFonts w:hint="eastAsia"/>
        </w:rPr>
        <w:t>Trade deficits often reflect stronger demand for foreign currencies relative to the local currency, which may exert devaluation pressure on the latter. A weaker domestic currency, while potentially beneficial to exporters in the short term, can heighten import costs and reduce purchasing power for consumers and businesses alike.</w:t>
      </w:r>
    </w:p>
    <w:p w14:paraId="37DE9578">
      <w:pPr>
        <w:rPr>
          <w:rFonts w:hint="eastAsia"/>
        </w:rPr>
      </w:pPr>
    </w:p>
    <w:p w14:paraId="1FFBEAF9">
      <w:pPr>
        <w:rPr>
          <w:rFonts w:hint="eastAsia"/>
        </w:rPr>
      </w:pPr>
    </w:p>
    <w:p w14:paraId="70FEF532">
      <w:pPr>
        <w:rPr>
          <w:rFonts w:hint="eastAsia"/>
        </w:rPr>
      </w:pPr>
    </w:p>
    <w:p w14:paraId="3880D734">
      <w:pPr>
        <w:rPr>
          <w:rFonts w:hint="eastAsia"/>
        </w:rPr>
      </w:pPr>
    </w:p>
    <w:p w14:paraId="28B44B1D">
      <w:r>
        <w:drawing>
          <wp:inline distT="0" distB="0" distL="114300" distR="114300">
            <wp:extent cx="5272405" cy="3173095"/>
            <wp:effectExtent l="0" t="0" r="4445"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
                    <a:stretch>
                      <a:fillRect/>
                    </a:stretch>
                  </pic:blipFill>
                  <pic:spPr>
                    <a:xfrm>
                      <a:off x="0" y="0"/>
                      <a:ext cx="5272405" cy="3173095"/>
                    </a:xfrm>
                    <a:prstGeom prst="rect">
                      <a:avLst/>
                    </a:prstGeom>
                    <a:noFill/>
                    <a:ln>
                      <a:noFill/>
                    </a:ln>
                  </pic:spPr>
                </pic:pic>
              </a:graphicData>
            </a:graphic>
          </wp:inline>
        </w:drawing>
      </w:r>
    </w:p>
    <w:p w14:paraId="6D411B29">
      <w:pPr>
        <w:rPr>
          <w:rFonts w:hint="eastAsia"/>
        </w:rPr>
      </w:pPr>
      <w:r>
        <w:rPr>
          <w:rFonts w:hint="eastAsia"/>
        </w:rPr>
        <w:t>The structural consequences of America’s trade deficit have long been in place—regardless of whether the country is led by Democrats or Republicans. So why has President Trump chosen this particular moment to stage what many have described as a campaign of "American Reconstruction"?</w:t>
      </w:r>
    </w:p>
    <w:p w14:paraId="60DDAD75">
      <w:pPr>
        <w:rPr>
          <w:rFonts w:hint="eastAsia"/>
        </w:rPr>
      </w:pPr>
    </w:p>
    <w:p w14:paraId="0FBB53CE">
      <w:pPr>
        <w:rPr>
          <w:rFonts w:hint="eastAsia"/>
        </w:rPr>
      </w:pPr>
      <w:r>
        <w:rPr>
          <w:rFonts w:hint="eastAsia"/>
        </w:rPr>
        <w:t>The timing, as it turns out, is far from incidental.</w:t>
      </w:r>
    </w:p>
    <w:p w14:paraId="3132B457">
      <w:pPr>
        <w:rPr>
          <w:rFonts w:hint="eastAsia"/>
        </w:rPr>
      </w:pPr>
    </w:p>
    <w:p w14:paraId="458F2A18">
      <w:pPr>
        <w:rPr>
          <w:rFonts w:hint="eastAsia"/>
        </w:rPr>
      </w:pPr>
      <w:r>
        <w:rPr>
          <w:rFonts w:hint="eastAsia"/>
        </w:rPr>
        <w:t>During his term, the United States faced a looming fiscal reality: approximately $6 trillion in Treasury debt was scheduled to mature over the course of the year, necessitating both principal repayment and ongoing interest service. Realistically, without issuing new government debt, there was no viable path to meet these obligations.</w:t>
      </w:r>
    </w:p>
    <w:p w14:paraId="695A5512">
      <w:pPr>
        <w:rPr>
          <w:rFonts w:hint="eastAsia"/>
        </w:rPr>
      </w:pPr>
    </w:p>
    <w:p w14:paraId="5F04CEFA">
      <w:pPr>
        <w:rPr>
          <w:rFonts w:hint="eastAsia"/>
        </w:rPr>
      </w:pPr>
      <w:r>
        <w:rPr>
          <w:rFonts w:hint="eastAsia"/>
        </w:rPr>
        <w:t>It was against this backdrop that President Trump launched his tariff strategy—a maneuver that was as much geopolitical as it was financial. The delays in tariff implementation were not signs of indecision, but rather instruments of negotiation.</w:t>
      </w:r>
    </w:p>
    <w:p w14:paraId="62A34F52">
      <w:pPr>
        <w:rPr>
          <w:rFonts w:hint="eastAsia"/>
        </w:rPr>
      </w:pPr>
    </w:p>
    <w:p w14:paraId="5170B3F0">
      <w:pPr>
        <w:rPr>
          <w:rFonts w:hint="eastAsia"/>
        </w:rPr>
      </w:pPr>
      <w:r>
        <w:rPr>
          <w:rFonts w:hint="eastAsia"/>
        </w:rPr>
        <w:t>The message to America’s trading partners was clear:</w:t>
      </w:r>
    </w:p>
    <w:p w14:paraId="6863423B">
      <w:pPr>
        <w:rPr>
          <w:rFonts w:hint="eastAsia"/>
        </w:rPr>
      </w:pPr>
      <w:r>
        <w:rPr>
          <w:rFonts w:hint="eastAsia"/>
        </w:rPr>
        <w:t>Accept a new tariff regime, thereby reducing the trade imbalance and alleviating future sovereign debt pressure.</w:t>
      </w:r>
    </w:p>
    <w:p w14:paraId="57D5CB6A">
      <w:pPr>
        <w:rPr>
          <w:rFonts w:hint="eastAsia"/>
        </w:rPr>
      </w:pPr>
      <w:r>
        <w:rPr>
          <w:rFonts w:hint="eastAsia"/>
        </w:rPr>
        <w:t>Or—alternatively—commit to purchasing newly issued U.S. Treasury securities, which would allow current tariffs to remain unchanged while still addressing the government’s funding needs through external capital inflows.</w:t>
      </w:r>
    </w:p>
    <w:p w14:paraId="23382819">
      <w:pPr>
        <w:rPr>
          <w:rFonts w:hint="eastAsia"/>
        </w:rPr>
      </w:pPr>
    </w:p>
    <w:p w14:paraId="22BBC238">
      <w:pPr>
        <w:rPr>
          <w:rFonts w:hint="eastAsia"/>
        </w:rPr>
      </w:pPr>
      <w:r>
        <w:rPr>
          <w:rFonts w:hint="eastAsia"/>
        </w:rPr>
        <w:t>In either outcome, the objective remained strategically consistent: to reinforce the United States’ ability to navigate its debt obligations, protect the integrity of its credit, and maintain the U.S. dollar’s role as the world’s reserve currency.</w:t>
      </w:r>
    </w:p>
    <w:p w14:paraId="4C3DD917">
      <w:pPr>
        <w:rPr>
          <w:rFonts w:hint="eastAsia"/>
        </w:rPr>
      </w:pPr>
    </w:p>
    <w:p w14:paraId="120AC17A">
      <w:pPr>
        <w:rPr>
          <w:rFonts w:hint="eastAsia"/>
        </w:rPr>
      </w:pPr>
      <w:r>
        <w:rPr>
          <w:rFonts w:hint="eastAsia"/>
        </w:rPr>
        <w:t>Does this framework help make the logic clearer?</w:t>
      </w:r>
    </w:p>
    <w:p w14:paraId="6CD27AA1">
      <w:pPr>
        <w:rPr>
          <w:rFonts w:hint="eastAsia"/>
        </w:rPr>
      </w:pPr>
    </w:p>
    <w:p w14:paraId="1E8C553C">
      <w:pPr>
        <w:rPr>
          <w:rFonts w:hint="eastAsia"/>
        </w:rPr>
      </w:pPr>
    </w:p>
    <w:p w14:paraId="3789467E">
      <w:pPr>
        <w:rPr>
          <w:rFonts w:hint="eastAsia"/>
        </w:rPr>
      </w:pPr>
    </w:p>
    <w:p w14:paraId="12FD1DF7">
      <w:pPr>
        <w:rPr>
          <w:rFonts w:hint="eastAsia"/>
        </w:rPr>
      </w:pPr>
    </w:p>
    <w:p w14:paraId="5A6A061B">
      <w:pPr>
        <w:rPr>
          <w:rFonts w:hint="eastAsia"/>
        </w:rPr>
      </w:pPr>
      <w:r>
        <w:drawing>
          <wp:inline distT="0" distB="0" distL="114300" distR="114300">
            <wp:extent cx="5266690" cy="3538855"/>
            <wp:effectExtent l="0" t="0" r="1016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5266690" cy="3538855"/>
                    </a:xfrm>
                    <a:prstGeom prst="rect">
                      <a:avLst/>
                    </a:prstGeom>
                    <a:noFill/>
                    <a:ln>
                      <a:noFill/>
                    </a:ln>
                  </pic:spPr>
                </pic:pic>
              </a:graphicData>
            </a:graphic>
          </wp:inline>
        </w:drawing>
      </w:r>
      <w:r>
        <w:rPr>
          <w:rFonts w:hint="eastAsia"/>
        </w:rPr>
        <w:t>As today marks my return to our Community Forum series, I’ve been considering what would be most appropriate as a gesture of re-engagement.</w:t>
      </w:r>
    </w:p>
    <w:p w14:paraId="53E04CB6">
      <w:pPr>
        <w:rPr>
          <w:rFonts w:hint="eastAsia"/>
        </w:rPr>
      </w:pPr>
    </w:p>
    <w:p w14:paraId="2483C6FF">
      <w:pPr>
        <w:rPr>
          <w:rFonts w:hint="eastAsia"/>
        </w:rPr>
      </w:pPr>
      <w:r>
        <w:rPr>
          <w:rFonts w:hint="eastAsia"/>
        </w:rPr>
        <w:t>In addition to the usual gifts from the Quantitative Think Tank—token vouchers, stablecoins, commemorative keepsakes, and recognition medals—I’d like to offer something of greater strategic relevance: a new compensation-backed validation signal for equity trading—APP and DUOL.</w:t>
      </w:r>
    </w:p>
    <w:p w14:paraId="604CDB86">
      <w:pPr>
        <w:rPr>
          <w:rFonts w:hint="eastAsia"/>
        </w:rPr>
      </w:pPr>
    </w:p>
    <w:p w14:paraId="3762A11C">
      <w:pPr>
        <w:rPr>
          <w:rFonts w:hint="eastAsia"/>
        </w:rPr>
      </w:pPr>
      <w:r>
        <w:rPr>
          <w:rFonts w:hint="eastAsia"/>
        </w:rPr>
        <w:t>Thanks to the long-term support of The Big Beautiful Act, these two AI-driven technology companies are well-positioned for favorable valuations and sustainable growth. According to our charts, both appear to have stabilized after a period of decline and are now entering a technical rebound phase—making this a timely opportunity for informed positioning.</w:t>
      </w:r>
    </w:p>
    <w:p w14:paraId="4D045A14">
      <w:pPr>
        <w:rPr>
          <w:rFonts w:hint="eastAsia"/>
        </w:rPr>
      </w:pPr>
    </w:p>
    <w:p w14:paraId="34D9BE7D">
      <w:pPr>
        <w:rPr>
          <w:rFonts w:hint="eastAsia"/>
        </w:rPr>
      </w:pPr>
      <w:r>
        <w:rPr>
          <w:rFonts w:hint="eastAsia"/>
        </w:rPr>
        <w:t>I recommend a total purchase not exceeding $2,000, with a suggested holding period through July 18.</w:t>
      </w:r>
    </w:p>
    <w:p w14:paraId="22E428B3">
      <w:pPr>
        <w:rPr>
          <w:rFonts w:hint="eastAsia"/>
        </w:rPr>
      </w:pPr>
    </w:p>
    <w:p w14:paraId="77C0B12B">
      <w:pPr>
        <w:rPr>
          <w:rFonts w:hint="eastAsia"/>
        </w:rPr>
      </w:pPr>
      <w:r>
        <w:rPr>
          <w:rFonts w:hint="eastAsia"/>
        </w:rPr>
        <w:t>If you prefer not to take a position via common shares, you may also contact my assistant for access to options-based signals, which provide a distinct and often more cost-efficient route to participate—particularly well-suited for those seeking high-leverage, low-capital validation trades.</w:t>
      </w:r>
    </w:p>
    <w:p w14:paraId="25C485E8">
      <w:pPr>
        <w:rPr>
          <w:rFonts w:hint="eastAsia"/>
        </w:rPr>
      </w:pPr>
    </w:p>
    <w:p w14:paraId="650C7AAF">
      <w:pPr>
        <w:rPr>
          <w:rFonts w:hint="eastAsia"/>
        </w:rPr>
      </w:pPr>
    </w:p>
    <w:p w14:paraId="42C34107">
      <w:pPr>
        <w:rPr>
          <w:rFonts w:hint="eastAsia"/>
        </w:rPr>
      </w:pPr>
    </w:p>
    <w:p w14:paraId="73EE26E4">
      <w:pPr>
        <w:rPr>
          <w:rFonts w:hint="eastAsia"/>
        </w:rPr>
      </w:pPr>
    </w:p>
    <w:p w14:paraId="528EF617">
      <w:pPr>
        <w:rPr>
          <w:rFonts w:hint="eastAsia"/>
        </w:rPr>
      </w:pPr>
      <w:r>
        <w:rPr>
          <w:rFonts w:hint="eastAsia"/>
        </w:rPr>
        <w:t>Today, what I hope to share goes beyond charts and data. It’s not just about numbers or algorithms—it’s about how we harness intelligence and precision to tame the wild nature of the markets, allowing the seeds of wealth to take root and flourish in stability.</w:t>
      </w:r>
    </w:p>
    <w:p w14:paraId="7C9FB30B">
      <w:pPr>
        <w:rPr>
          <w:rFonts w:hint="eastAsia"/>
        </w:rPr>
      </w:pPr>
    </w:p>
    <w:p w14:paraId="1F0E715B">
      <w:pPr>
        <w:rPr>
          <w:rFonts w:hint="eastAsia"/>
        </w:rPr>
      </w:pPr>
      <w:r>
        <w:rPr>
          <w:rFonts w:hint="eastAsia"/>
        </w:rPr>
        <w:t>Acumeta and its quantitative decision-making signals may sound, at first, like something out of science fiction. But in reality, they are a reflection of our commitment to the future: a belief that investing shouldn’t feel like rolling dice, but more like playing chess—deliberate, methodical, and grounded in long-term thinking.</w:t>
      </w:r>
    </w:p>
    <w:p w14:paraId="4848776F">
      <w:pPr>
        <w:rPr>
          <w:rFonts w:hint="eastAsia"/>
        </w:rPr>
      </w:pPr>
    </w:p>
    <w:p w14:paraId="37558314">
      <w:pPr>
        <w:rPr>
          <w:rFonts w:hint="eastAsia"/>
        </w:rPr>
      </w:pPr>
      <w:r>
        <w:rPr>
          <w:rFonts w:hint="eastAsia"/>
        </w:rPr>
        <w:t>My work centers on refining these strategies to be more consistent and more reliable—essentially building a kind of GPS for your capital. No matter how turbulent the market conditions, this guidance can help you stay the course and find safe passage.</w:t>
      </w:r>
    </w:p>
    <w:p w14:paraId="7F029BE4">
      <w:pPr>
        <w:rPr>
          <w:rFonts w:hint="eastAsia"/>
        </w:rPr>
      </w:pPr>
    </w:p>
    <w:p w14:paraId="05096373">
      <w:pPr>
        <w:rPr>
          <w:rFonts w:hint="eastAsia"/>
        </w:rPr>
      </w:pPr>
      <w:r>
        <w:rPr>
          <w:rFonts w:hint="eastAsia"/>
        </w:rPr>
        <w:t>Think about it this way: just like in Interstellar, where explorers seek new galaxies, we too are navigating a vast universe—only ours is made of data and disciplined logic, in search of sustainable wealth creation.</w:t>
      </w:r>
    </w:p>
    <w:p w14:paraId="18855FB6">
      <w:pPr>
        <w:rPr>
          <w:rFonts w:hint="eastAsia"/>
        </w:rPr>
      </w:pPr>
    </w:p>
    <w:p w14:paraId="16072079">
      <w:pPr>
        <w:rPr>
          <w:rFonts w:hint="eastAsia"/>
        </w:rPr>
      </w:pPr>
      <w:r>
        <w:rPr>
          <w:rFonts w:hint="eastAsia"/>
        </w:rPr>
        <w:t>So today, I invite you to reignite your curiosity for the future. Let’s explore how Acumeta’s insights and the precision of quant strategy can help you craft your own wealth story—quietly, intentionally, and with conviction.</w:t>
      </w:r>
    </w:p>
    <w:p w14:paraId="47850CCF">
      <w:pPr>
        <w:rPr>
          <w:rFonts w:hint="eastAsia"/>
        </w:rPr>
      </w:pPr>
    </w:p>
    <w:p w14:paraId="53992588">
      <w:pPr>
        <w:rPr>
          <w:rFonts w:hint="eastAsia"/>
        </w:rPr>
      </w:pPr>
      <w:r>
        <w:rPr>
          <w:rFonts w:hint="eastAsia"/>
        </w:rPr>
        <w:t>Make every one of you find your very own “home run” moment.</w:t>
      </w:r>
    </w:p>
    <w:p w14:paraId="0A4E2CED">
      <w:pPr>
        <w:rPr>
          <w:rFonts w:hint="eastAsia"/>
        </w:rPr>
      </w:pPr>
    </w:p>
    <w:p w14:paraId="7FAF37C8">
      <w:pPr>
        <w:rPr>
          <w:rFonts w:hint="eastAsia"/>
        </w:rPr>
      </w:pPr>
      <w:r>
        <w:rPr>
          <w:rFonts w:hint="eastAsia"/>
        </w:rPr>
        <w:t>Thank you all. Let’s meet again after the market closes this afternoon. Ready for takeoff?</w:t>
      </w:r>
    </w:p>
    <w:p w14:paraId="166288D7">
      <w:pPr>
        <w:rPr>
          <w:rFonts w:hint="eastAsia"/>
        </w:rPr>
      </w:pPr>
    </w:p>
    <w:p w14:paraId="483E40BE">
      <w:pPr>
        <w:rPr>
          <w:rFonts w:hint="eastAsia"/>
        </w:rPr>
      </w:pPr>
    </w:p>
    <w:p w14:paraId="3D4CA1F2">
      <w:pPr>
        <w:rPr>
          <w:rFonts w:hint="eastAsia"/>
        </w:rPr>
      </w:pPr>
    </w:p>
    <w:p w14:paraId="198A97B0">
      <w:pPr>
        <w:rPr>
          <w:rFonts w:hint="eastAsia"/>
        </w:rPr>
      </w:pPr>
    </w:p>
    <w:p w14:paraId="2BAE6521">
      <w:pPr>
        <w:rPr>
          <w:rFonts w:hint="eastAsia"/>
        </w:rPr>
      </w:pPr>
    </w:p>
    <w:p w14:paraId="5F85E41F">
      <w:pPr>
        <w:rPr>
          <w:rFonts w:hint="eastAsia"/>
        </w:rPr>
      </w:pPr>
    </w:p>
    <w:p w14:paraId="3D69155C">
      <w:pPr>
        <w:rPr>
          <w:rFonts w:hint="eastAsia"/>
        </w:rPr>
      </w:pPr>
    </w:p>
    <w:p w14:paraId="6B7592A0">
      <w:pPr>
        <w:rPr>
          <w:rFonts w:hint="eastAsia"/>
        </w:rPr>
      </w:pPr>
    </w:p>
    <w:p w14:paraId="0791DA22">
      <w:pPr>
        <w:rPr>
          <w:rFonts w:hint="eastAsia"/>
        </w:rPr>
      </w:pPr>
    </w:p>
    <w:p w14:paraId="2D4645F2">
      <w:pPr>
        <w:rPr>
          <w:rFonts w:hint="eastAsia"/>
        </w:rPr>
      </w:pPr>
      <w:r>
        <w:drawing>
          <wp:inline distT="0" distB="0" distL="114300" distR="114300">
            <wp:extent cx="5271135" cy="5470525"/>
            <wp:effectExtent l="0" t="0" r="5715" b="158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a:stretch>
                      <a:fillRect/>
                    </a:stretch>
                  </pic:blipFill>
                  <pic:spPr>
                    <a:xfrm>
                      <a:off x="0" y="0"/>
                      <a:ext cx="5271135" cy="5470525"/>
                    </a:xfrm>
                    <a:prstGeom prst="rect">
                      <a:avLst/>
                    </a:prstGeom>
                    <a:noFill/>
                    <a:ln>
                      <a:noFill/>
                    </a:ln>
                  </pic:spPr>
                </pic:pic>
              </a:graphicData>
            </a:graphic>
          </wp:inline>
        </w:drawing>
      </w:r>
      <w:r>
        <w:rPr>
          <w:rFonts w:hint="eastAsia"/>
        </w:rPr>
        <w:t>Pour yourself an afternoon coffee, and let’s begin our forum series. Good afternoon, guys.</w:t>
      </w:r>
    </w:p>
    <w:p w14:paraId="420FBDDB">
      <w:pPr>
        <w:rPr>
          <w:rFonts w:hint="eastAsia"/>
        </w:rPr>
      </w:pPr>
    </w:p>
    <w:p w14:paraId="3E226A3F">
      <w:pPr>
        <w:rPr>
          <w:rFonts w:hint="eastAsia"/>
        </w:rPr>
      </w:pPr>
      <w:r>
        <w:rPr>
          <w:rFonts w:hint="eastAsia"/>
        </w:rPr>
        <w:t>It is a privilege to be here once again, in the company of thoughtful minds and enduring values.</w:t>
      </w:r>
    </w:p>
    <w:p w14:paraId="64C014ED">
      <w:pPr>
        <w:rPr>
          <w:rFonts w:hint="eastAsia"/>
        </w:rPr>
      </w:pPr>
    </w:p>
    <w:p w14:paraId="5BACFEDE">
      <w:pPr>
        <w:rPr>
          <w:rFonts w:hint="eastAsia"/>
        </w:rPr>
      </w:pPr>
      <w:r>
        <w:rPr>
          <w:rFonts w:hint="eastAsia"/>
        </w:rPr>
        <w:t>As we scan the headlines—tariff escalations casting long shadows, debt crises echoing across economies, the dollar index wavering in response to global unease—many of us may feel an undercurrent of uncertainty. The foundational logic of traditional markets appears to be in flux; long-held paradigms are quietly dissolving.</w:t>
      </w:r>
    </w:p>
    <w:p w14:paraId="1089C043">
      <w:pPr>
        <w:rPr>
          <w:rFonts w:hint="eastAsia"/>
        </w:rPr>
      </w:pPr>
    </w:p>
    <w:p w14:paraId="24169E6D">
      <w:pPr>
        <w:rPr>
          <w:rFonts w:hint="eastAsia"/>
        </w:rPr>
      </w:pPr>
      <w:r>
        <w:rPr>
          <w:rFonts w:hint="eastAsia"/>
        </w:rPr>
        <w:t>But it is precisely in such times that our discernment, resilience, and capacity to engage with what lies ahead are most deeply tested.</w:t>
      </w:r>
    </w:p>
    <w:p w14:paraId="204E5690">
      <w:pPr>
        <w:rPr>
          <w:rFonts w:hint="eastAsia"/>
        </w:rPr>
      </w:pPr>
    </w:p>
    <w:p w14:paraId="42EB1864">
      <w:pPr>
        <w:rPr>
          <w:rFonts w:hint="eastAsia"/>
        </w:rPr>
      </w:pPr>
      <w:r>
        <w:rPr>
          <w:rFonts w:hint="eastAsia"/>
        </w:rPr>
        <w:t>Standing at this inflection point—an era defined by velocity, volatility, and vast potential—I feel a profound sense of resolve. Much like the fireworks on Independence Day that briefly illuminate the sky, we are witnessing the dawn of a world reshaped by both opportunity and responsibility.</w:t>
      </w:r>
    </w:p>
    <w:p w14:paraId="67904281">
      <w:pPr>
        <w:rPr>
          <w:rFonts w:hint="eastAsia"/>
        </w:rPr>
      </w:pPr>
    </w:p>
    <w:p w14:paraId="6C517012">
      <w:pPr>
        <w:rPr>
          <w:rFonts w:hint="eastAsia"/>
        </w:rPr>
      </w:pPr>
    </w:p>
    <w:p w14:paraId="62064F71">
      <w:pPr>
        <w:rPr>
          <w:rFonts w:hint="eastAsia"/>
        </w:rPr>
      </w:pPr>
    </w:p>
    <w:p w14:paraId="3255D996">
      <w:pPr>
        <w:rPr>
          <w:rFonts w:hint="eastAsia"/>
        </w:rPr>
      </w:pPr>
    </w:p>
    <w:p w14:paraId="5F6F5CCB">
      <w:pPr>
        <w:rPr>
          <w:rFonts w:hint="eastAsia"/>
        </w:rPr>
      </w:pPr>
      <w:r>
        <w:drawing>
          <wp:inline distT="0" distB="0" distL="114300" distR="114300">
            <wp:extent cx="5269865" cy="3042920"/>
            <wp:effectExtent l="0" t="0" r="6985"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a:stretch>
                      <a:fillRect/>
                    </a:stretch>
                  </pic:blipFill>
                  <pic:spPr>
                    <a:xfrm>
                      <a:off x="0" y="0"/>
                      <a:ext cx="5269865" cy="3042920"/>
                    </a:xfrm>
                    <a:prstGeom prst="rect">
                      <a:avLst/>
                    </a:prstGeom>
                    <a:noFill/>
                    <a:ln>
                      <a:noFill/>
                    </a:ln>
                  </pic:spPr>
                </pic:pic>
              </a:graphicData>
            </a:graphic>
          </wp:inline>
        </w:drawing>
      </w:r>
      <w:r>
        <w:rPr>
          <w:rFonts w:hint="eastAsia"/>
        </w:rPr>
        <w:t>The smoke of the tariff war has not yet lifted. The delayed tariff policy under former President Trump has sent markets on a rollercoaster ride.</w:t>
      </w:r>
    </w:p>
    <w:p w14:paraId="66D987B4">
      <w:pPr>
        <w:rPr>
          <w:rFonts w:hint="eastAsia"/>
        </w:rPr>
      </w:pPr>
      <w:r>
        <w:rPr>
          <w:rFonts w:hint="eastAsia"/>
        </w:rPr>
        <w:t>Beneath the surface, debt risks continue to accumulate—America’s fiscal deficit has climbed to $3.3 trillion, while the 10-year Treasury yield has retreated from 4.629% to 4.277%.</w:t>
      </w:r>
    </w:p>
    <w:p w14:paraId="6F618D2D">
      <w:pPr>
        <w:rPr>
          <w:rFonts w:hint="eastAsia"/>
        </w:rPr>
      </w:pPr>
      <w:r>
        <w:rPr>
          <w:rFonts w:hint="eastAsia"/>
        </w:rPr>
        <w:t>The U.S. Dollar Index has weakened, yet cryptocurrencies are surging like wildfire. USDT alone has reached a market cap of $139.7 billion, igniting new possibilities for global wealth creation.</w:t>
      </w:r>
    </w:p>
    <w:p w14:paraId="75D164C2">
      <w:pPr>
        <w:rPr>
          <w:rFonts w:hint="eastAsia"/>
        </w:rPr>
      </w:pPr>
    </w:p>
    <w:p w14:paraId="5377B9CC">
      <w:pPr>
        <w:rPr>
          <w:rFonts w:hint="eastAsia"/>
        </w:rPr>
      </w:pPr>
      <w:r>
        <w:rPr>
          <w:rFonts w:hint="eastAsia"/>
        </w:rPr>
        <w:t>These disruptions are not merely signs of crisis—they are signals of transformation.</w:t>
      </w:r>
    </w:p>
    <w:p w14:paraId="461AD069">
      <w:pPr>
        <w:rPr>
          <w:rFonts w:hint="eastAsia"/>
        </w:rPr>
      </w:pPr>
    </w:p>
    <w:p w14:paraId="17B68F83">
      <w:pPr>
        <w:rPr>
          <w:rFonts w:hint="eastAsia"/>
        </w:rPr>
      </w:pPr>
      <w:r>
        <w:rPr>
          <w:rFonts w:hint="eastAsia"/>
        </w:rPr>
        <w:t>The dynamics of tariffs have opened a window for defense and energy equities. Mounting debt pressures are fueling the rise of decentralized finance. And the crypto wave is prompting us to fundamentally rethink the meaning of wealth itself.</w:t>
      </w:r>
    </w:p>
    <w:p w14:paraId="73111A84">
      <w:pPr>
        <w:rPr>
          <w:rFonts w:hint="eastAsia"/>
        </w:rPr>
      </w:pPr>
    </w:p>
    <w:p w14:paraId="61FCC796">
      <w:pPr>
        <w:rPr>
          <w:rFonts w:hint="eastAsia"/>
        </w:rPr>
      </w:pPr>
      <w:r>
        <w:rPr>
          <w:rFonts w:hint="eastAsia"/>
        </w:rPr>
        <w:t>As Mark Twain once remarked, “History doesn't repeat itself, but it often rhymes.”</w:t>
      </w:r>
    </w:p>
    <w:p w14:paraId="249FF990">
      <w:pPr>
        <w:rPr>
          <w:rFonts w:hint="eastAsia"/>
        </w:rPr>
      </w:pPr>
    </w:p>
    <w:p w14:paraId="088D6FAD">
      <w:pPr>
        <w:rPr>
          <w:rFonts w:hint="eastAsia"/>
        </w:rPr>
      </w:pPr>
      <w:r>
        <w:rPr>
          <w:rFonts w:hint="eastAsia"/>
        </w:rPr>
        <w:t>It is in these moments that we must rely on wisdom and foresight—to navigate through uncertainty, and to chart a course across a sea of data toward what endures.</w:t>
      </w:r>
    </w:p>
    <w:p w14:paraId="2913D26E">
      <w:pPr>
        <w:rPr>
          <w:rFonts w:hint="eastAsia"/>
        </w:rPr>
      </w:pPr>
    </w:p>
    <w:p w14:paraId="49BAFEDE">
      <w:pPr>
        <w:rPr>
          <w:rFonts w:hint="eastAsia"/>
        </w:rPr>
      </w:pPr>
    </w:p>
    <w:p w14:paraId="6B5FB056">
      <w:pPr>
        <w:rPr>
          <w:rFonts w:hint="eastAsia"/>
        </w:rPr>
      </w:pPr>
    </w:p>
    <w:p w14:paraId="1935932D">
      <w:pPr>
        <w:rPr>
          <w:rFonts w:hint="eastAsia"/>
        </w:rPr>
      </w:pPr>
    </w:p>
    <w:p w14:paraId="40AAEBAC">
      <w:r>
        <w:drawing>
          <wp:inline distT="0" distB="0" distL="114300" distR="114300">
            <wp:extent cx="5266690" cy="2188845"/>
            <wp:effectExtent l="0" t="0" r="1016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a:stretch>
                      <a:fillRect/>
                    </a:stretch>
                  </pic:blipFill>
                  <pic:spPr>
                    <a:xfrm>
                      <a:off x="0" y="0"/>
                      <a:ext cx="5266690" cy="2188845"/>
                    </a:xfrm>
                    <a:prstGeom prst="rect">
                      <a:avLst/>
                    </a:prstGeom>
                    <a:noFill/>
                    <a:ln>
                      <a:noFill/>
                    </a:ln>
                  </pic:spPr>
                </pic:pic>
              </a:graphicData>
            </a:graphic>
          </wp:inline>
        </w:drawing>
      </w:r>
    </w:p>
    <w:p w14:paraId="3A9B4593">
      <w:pPr>
        <w:rPr>
          <w:rFonts w:hint="eastAsia"/>
        </w:rPr>
      </w:pPr>
      <w:r>
        <w:rPr>
          <w:rFonts w:hint="eastAsia"/>
        </w:rPr>
        <w:t>As the market closed today, I’d like to take a moment to reflect on this afternoon’s Cabinet meeting under President Trump as a lens through which to view recent market movements—and to consider how we might position ourselves through thoughtful trading, guided by decisive quantitative signals that support near-term revenue and long-term capital growth.</w:t>
      </w:r>
    </w:p>
    <w:p w14:paraId="29554062">
      <w:pPr>
        <w:rPr>
          <w:rFonts w:hint="eastAsia"/>
        </w:rPr>
      </w:pPr>
    </w:p>
    <w:p w14:paraId="59498C90">
      <w:pPr>
        <w:rPr>
          <w:rFonts w:hint="eastAsia"/>
        </w:rPr>
      </w:pPr>
      <w:r>
        <w:rPr>
          <w:rFonts w:hint="eastAsia"/>
        </w:rPr>
        <w:t>Tuesday’s performance across U.S. equities was largely uneventful. The three major indices moved within a narrow range throughout the day—a development that aligned closely with my expectations.</w:t>
      </w:r>
    </w:p>
    <w:p w14:paraId="4AF97D55">
      <w:pPr>
        <w:rPr>
          <w:rFonts w:hint="eastAsia"/>
        </w:rPr>
      </w:pPr>
      <w:r>
        <w:rPr>
          <w:rFonts w:hint="eastAsia"/>
        </w:rPr>
        <w:t>But what explains this behavior in the current environment?</w:t>
      </w:r>
    </w:p>
    <w:p w14:paraId="490BD235">
      <w:pPr>
        <w:rPr>
          <w:rFonts w:hint="eastAsia"/>
        </w:rPr>
      </w:pPr>
    </w:p>
    <w:p w14:paraId="666E814B">
      <w:pPr>
        <w:rPr>
          <w:rFonts w:hint="eastAsia"/>
        </w:rPr>
      </w:pPr>
      <w:r>
        <w:rPr>
          <w:rFonts w:hint="eastAsia"/>
        </w:rPr>
        <w:t>Interestingly, the Volatility Index didn’t rise—it actually declined. So what is the market waiting for? What sentiment is being withheld? And more critically, how do we identify the right instruments to trade—those that offer the greatest probability of success in a landscape defined by hesitation?</w:t>
      </w:r>
    </w:p>
    <w:p w14:paraId="50F938CF">
      <w:pPr>
        <w:rPr>
          <w:rFonts w:hint="eastAsia"/>
        </w:rPr>
      </w:pPr>
    </w:p>
    <w:p w14:paraId="2ED1F588">
      <w:pPr>
        <w:rPr>
          <w:rFonts w:hint="eastAsia"/>
        </w:rPr>
      </w:pPr>
      <w:r>
        <w:rPr>
          <w:rFonts w:hint="eastAsia"/>
        </w:rPr>
        <w:t>Welcome back. I encourage every member of this community forum to engage actively, offer reflections, and contribute feedback. Together, we are building not just a conversation, but a lasting presence for our quantitative strategy—a presence defined by rigor, clarity, and enduring value.</w:t>
      </w:r>
    </w:p>
    <w:p w14:paraId="51929C4B">
      <w:pPr>
        <w:rPr>
          <w:rFonts w:hint="eastAsia"/>
        </w:rPr>
      </w:pPr>
    </w:p>
    <w:p w14:paraId="0F1C5D15">
      <w:pPr>
        <w:rPr>
          <w:rFonts w:hint="eastAsia"/>
        </w:rPr>
      </w:pPr>
    </w:p>
    <w:p w14:paraId="61636767">
      <w:pPr>
        <w:rPr>
          <w:rFonts w:hint="eastAsia"/>
        </w:rPr>
      </w:pPr>
    </w:p>
    <w:p w14:paraId="53AA1872">
      <w:pPr>
        <w:rPr>
          <w:rFonts w:hint="eastAsia"/>
        </w:rPr>
      </w:pPr>
    </w:p>
    <w:p w14:paraId="6DC8526F">
      <w:pPr>
        <w:rPr>
          <w:rFonts w:hint="eastAsia"/>
        </w:rPr>
      </w:pPr>
      <w:r>
        <w:drawing>
          <wp:inline distT="0" distB="0" distL="114300" distR="114300">
            <wp:extent cx="5269865" cy="3526155"/>
            <wp:effectExtent l="0" t="0" r="6985" b="171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5269865" cy="3526155"/>
                    </a:xfrm>
                    <a:prstGeom prst="rect">
                      <a:avLst/>
                    </a:prstGeom>
                    <a:noFill/>
                    <a:ln>
                      <a:noFill/>
                    </a:ln>
                  </pic:spPr>
                </pic:pic>
              </a:graphicData>
            </a:graphic>
          </wp:inline>
        </w:drawing>
      </w:r>
      <w:r>
        <w:rPr>
          <w:rFonts w:hint="eastAsia"/>
        </w:rPr>
        <w:t>Market sentiment today remained subdued, largely due to the anticipation surrounding the July 9 deadline. Investors are awaiting further developments—specifically, a potential round of tariff letters from President Trump to other major economies, including Europe and China.</w:t>
      </w:r>
    </w:p>
    <w:p w14:paraId="5EBF1A8F">
      <w:pPr>
        <w:rPr>
          <w:rFonts w:hint="eastAsia"/>
        </w:rPr>
      </w:pPr>
    </w:p>
    <w:p w14:paraId="619757D9">
      <w:pPr>
        <w:rPr>
          <w:rFonts w:hint="eastAsia"/>
        </w:rPr>
      </w:pPr>
      <w:r>
        <w:rPr>
          <w:rFonts w:hint="eastAsia"/>
        </w:rPr>
        <w:t>The President has repeatedly indicated that these communications are imminent. As a result, the market is bracing for additional layers of uncertainty.</w:t>
      </w:r>
    </w:p>
    <w:p w14:paraId="685069D7">
      <w:pPr>
        <w:rPr>
          <w:rFonts w:hint="eastAsia"/>
        </w:rPr>
      </w:pPr>
      <w:r>
        <w:rPr>
          <w:rFonts w:hint="eastAsia"/>
        </w:rPr>
        <w:t>This explains why bullish sentiment was notably restrained throughout the session—and perhaps, why following the market today felt somewhat soporific.</w:t>
      </w:r>
    </w:p>
    <w:p w14:paraId="394EBAD9">
      <w:pPr>
        <w:rPr>
          <w:rFonts w:hint="eastAsia"/>
        </w:rPr>
      </w:pPr>
    </w:p>
    <w:p w14:paraId="1AA27845">
      <w:pPr>
        <w:rPr>
          <w:rFonts w:hint="eastAsia"/>
        </w:rPr>
      </w:pPr>
      <w:r>
        <w:rPr>
          <w:rFonts w:hint="eastAsia"/>
        </w:rPr>
        <w:t>Yet, as we well understand, trading is ultimately the art of navigating through volatility—of seeking clarity amid noise. The absence of panic suggests not fear, but anticipation. The market is not recoiling; it is simply waiting.</w:t>
      </w:r>
    </w:p>
    <w:p w14:paraId="1B7B6A76">
      <w:pPr>
        <w:rPr>
          <w:rFonts w:hint="eastAsia"/>
        </w:rPr>
      </w:pPr>
    </w:p>
    <w:p w14:paraId="45EC426C">
      <w:pPr>
        <w:rPr>
          <w:rFonts w:hint="eastAsia"/>
        </w:rPr>
      </w:pPr>
      <w:r>
        <w:rPr>
          <w:rFonts w:hint="eastAsia"/>
        </w:rPr>
        <w:t>What stands out, however, is that today’s Cabinet meeting did offer several noteworthy signals—subtle but significant—that may guide our positioning going forward.</w:t>
      </w:r>
    </w:p>
    <w:p w14:paraId="2BE8D686">
      <w:pPr>
        <w:rPr>
          <w:rFonts w:hint="eastAsia"/>
        </w:rPr>
      </w:pPr>
    </w:p>
    <w:p w14:paraId="067CC24F">
      <w:pPr>
        <w:rPr>
          <w:rFonts w:hint="eastAsia"/>
        </w:rPr>
      </w:pPr>
    </w:p>
    <w:p w14:paraId="220E9FF4">
      <w:pPr>
        <w:rPr>
          <w:rFonts w:hint="eastAsia"/>
        </w:rPr>
      </w:pPr>
    </w:p>
    <w:p w14:paraId="147D9C72">
      <w:pPr>
        <w:rPr>
          <w:rFonts w:hint="eastAsia"/>
        </w:rPr>
      </w:pPr>
    </w:p>
    <w:p w14:paraId="3C2AB0FA">
      <w:pPr>
        <w:rPr>
          <w:rFonts w:hint="eastAsia"/>
        </w:rPr>
      </w:pPr>
      <w:r>
        <w:drawing>
          <wp:inline distT="0" distB="0" distL="114300" distR="114300">
            <wp:extent cx="5266690" cy="3390900"/>
            <wp:effectExtent l="0" t="0" r="1016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8"/>
                    <a:stretch>
                      <a:fillRect/>
                    </a:stretch>
                  </pic:blipFill>
                  <pic:spPr>
                    <a:xfrm>
                      <a:off x="0" y="0"/>
                      <a:ext cx="5266690" cy="3390900"/>
                    </a:xfrm>
                    <a:prstGeom prst="rect">
                      <a:avLst/>
                    </a:prstGeom>
                    <a:noFill/>
                    <a:ln>
                      <a:noFill/>
                    </a:ln>
                  </pic:spPr>
                </pic:pic>
              </a:graphicData>
            </a:graphic>
          </wp:inline>
        </w:drawing>
      </w:r>
      <w:r>
        <w:rPr>
          <w:rFonts w:hint="eastAsia"/>
        </w:rPr>
        <w:t>The most significant force capping today’s market gains stemmed from President Trump’s remarks: tariffs will formally take effect on August 1st, with no possibility of delay.</w:t>
      </w:r>
    </w:p>
    <w:p w14:paraId="199C692D">
      <w:pPr>
        <w:rPr>
          <w:rFonts w:hint="eastAsia"/>
        </w:rPr>
      </w:pPr>
    </w:p>
    <w:p w14:paraId="29ACEC47">
      <w:pPr>
        <w:rPr>
          <w:rFonts w:hint="eastAsia"/>
        </w:rPr>
      </w:pPr>
      <w:r>
        <w:rPr>
          <w:rFonts w:hint="eastAsia"/>
        </w:rPr>
        <w:t>This statement introduces a layer of caution into the market’s outlook over the next 20 days, as investors begin to price in the potential impact of tariffs that could, in effect, trigger a correction reminiscent of April’s sharp downturn.</w:t>
      </w:r>
    </w:p>
    <w:p w14:paraId="581316F2">
      <w:pPr>
        <w:rPr>
          <w:rFonts w:hint="eastAsia"/>
        </w:rPr>
      </w:pPr>
      <w:r>
        <w:rPr>
          <w:rFonts w:hint="eastAsia"/>
        </w:rPr>
        <w:t>Another headwind came from expectations surrounding the upcoming announcement of semiconductor-related tariff measures—adding a note of restraint to trading in the technology sector. Together, these concerns weighed heavily on bullish sentiment and muted any meaningful rebound.</w:t>
      </w:r>
    </w:p>
    <w:p w14:paraId="434BDAB4">
      <w:pPr>
        <w:rPr>
          <w:rFonts w:hint="eastAsia"/>
        </w:rPr>
      </w:pPr>
    </w:p>
    <w:p w14:paraId="6B8CD03F">
      <w:pPr>
        <w:rPr>
          <w:rFonts w:hint="eastAsia"/>
        </w:rPr>
      </w:pPr>
      <w:r>
        <w:rPr>
          <w:rFonts w:hint="eastAsia"/>
        </w:rPr>
        <w:t>That said, I take a somewhat different view. Rather than reacting to surface-level signals, I prefer to look through the noise and examine the underlying dynamics. My belief is that further delays to the tariff timeline remain not only possible, but likely—even after August 1st.</w:t>
      </w:r>
    </w:p>
    <w:p w14:paraId="1384EB87">
      <w:pPr>
        <w:rPr>
          <w:rFonts w:hint="eastAsia"/>
        </w:rPr>
      </w:pPr>
    </w:p>
    <w:p w14:paraId="5C39B4AB">
      <w:pPr>
        <w:rPr>
          <w:rFonts w:hint="eastAsia"/>
        </w:rPr>
      </w:pPr>
      <w:r>
        <w:rPr>
          <w:rFonts w:hint="eastAsia"/>
        </w:rPr>
        <w:t>Why such a confident assertion?</w:t>
      </w:r>
    </w:p>
    <w:p w14:paraId="36B40757">
      <w:pPr>
        <w:rPr>
          <w:rFonts w:hint="eastAsia"/>
        </w:rPr>
      </w:pPr>
    </w:p>
    <w:p w14:paraId="245A8172">
      <w:pPr>
        <w:rPr>
          <w:rFonts w:hint="eastAsia"/>
        </w:rPr>
      </w:pPr>
      <w:r>
        <w:rPr>
          <w:rFonts w:hint="eastAsia"/>
        </w:rPr>
        <w:t>Because throughout the afternoon, there was one consistent thread in President Trump’s remarks: sustained and pointed criticism of Federal Reserve Chair Jerome Powell.</w:t>
      </w:r>
    </w:p>
    <w:p w14:paraId="44FD44FF">
      <w:pPr>
        <w:rPr>
          <w:rFonts w:hint="eastAsia"/>
        </w:rPr>
      </w:pPr>
    </w:p>
    <w:p w14:paraId="53C17AF3">
      <w:pPr>
        <w:rPr>
          <w:rFonts w:hint="eastAsia"/>
        </w:rPr>
      </w:pPr>
    </w:p>
    <w:p w14:paraId="70E8D46D">
      <w:pPr>
        <w:rPr>
          <w:rFonts w:hint="eastAsia"/>
        </w:rPr>
      </w:pPr>
    </w:p>
    <w:p w14:paraId="70EC3578">
      <w:pPr>
        <w:rPr>
          <w:rFonts w:hint="eastAsia"/>
        </w:rPr>
      </w:pPr>
    </w:p>
    <w:p w14:paraId="7D086C5D">
      <w:pPr>
        <w:rPr>
          <w:rFonts w:hint="eastAsia"/>
        </w:rPr>
      </w:pPr>
      <w:r>
        <w:rPr>
          <w:rFonts w:hint="eastAsia"/>
        </w:rPr>
        <w:t>Tuesday afternoon was dominated by President Trump’s increasingly pointed remarks aimed at “Mr. Too Late,” a jab directed squarely at Federal Reserve Chair Jerome Powell. At one point, he even went so far as to suggest that the Fed should move to cut interest rates immediately.</w:t>
      </w:r>
    </w:p>
    <w:p w14:paraId="63713FE3">
      <w:pPr>
        <w:rPr>
          <w:rFonts w:hint="eastAsia"/>
        </w:rPr>
      </w:pPr>
    </w:p>
    <w:p w14:paraId="77D60EB2">
      <w:pPr>
        <w:rPr>
          <w:rFonts w:hint="eastAsia"/>
        </w:rPr>
      </w:pPr>
      <w:r>
        <w:rPr>
          <w:rFonts w:hint="eastAsia"/>
        </w:rPr>
        <w:t>In fairness, current inflation data shows no meaningful signs of acceleration. Trump’s tariff threats have, in the short term, served to temper inflationary pressure—largely because goods imported ahead of any new measures remain subject to previous, lower tariff rates. For the time being, the cost structure of inbound trade has not yet been materially affected.</w:t>
      </w:r>
    </w:p>
    <w:p w14:paraId="7905E2F1">
      <w:pPr>
        <w:rPr>
          <w:rFonts w:hint="eastAsia"/>
        </w:rPr>
      </w:pPr>
    </w:p>
    <w:p w14:paraId="540B3327">
      <w:pPr>
        <w:rPr>
          <w:rFonts w:hint="eastAsia"/>
        </w:rPr>
      </w:pPr>
      <w:r>
        <w:rPr>
          <w:rFonts w:hint="eastAsia"/>
        </w:rPr>
        <w:t>Still, the administration is fully aware that such delay tactics are not indefinitely sustainable. Relying on postponed enforcement may provide temporary leverage, but its effectiveness diminishes over time. And once that leverage fades, the broader objectives of the trade strategy may begin to erode—posing greater risks to its long-term viability.</w:t>
      </w:r>
    </w:p>
    <w:p w14:paraId="774608AC">
      <w:pPr>
        <w:rPr>
          <w:rFonts w:hint="eastAsia"/>
        </w:rPr>
      </w:pPr>
    </w:p>
    <w:p w14:paraId="1ABDE3DB">
      <w:pPr>
        <w:rPr>
          <w:rFonts w:hint="eastAsia"/>
        </w:rPr>
      </w:pPr>
      <w:r>
        <w:rPr>
          <w:rFonts w:hint="eastAsia"/>
        </w:rPr>
        <w:t>That may explain the shift in tone today, as we saw the announcement of new tariffs targeting the pharmaceutical and copper industries.</w:t>
      </w:r>
    </w:p>
    <w:p w14:paraId="40CB6C1B">
      <w:pPr>
        <w:rPr>
          <w:rFonts w:hint="eastAsia"/>
        </w:rPr>
      </w:pPr>
    </w:p>
    <w:p w14:paraId="78FF947B">
      <w:pPr>
        <w:rPr>
          <w:rFonts w:hint="eastAsia"/>
        </w:rPr>
      </w:pPr>
    </w:p>
    <w:p w14:paraId="09A34BB2">
      <w:pPr>
        <w:rPr>
          <w:rFonts w:hint="eastAsia"/>
        </w:rPr>
      </w:pPr>
    </w:p>
    <w:p w14:paraId="499CEE33">
      <w:pPr>
        <w:rPr>
          <w:rFonts w:hint="eastAsia"/>
        </w:rPr>
      </w:pPr>
    </w:p>
    <w:p w14:paraId="6EB5184D">
      <w:pPr>
        <w:rPr>
          <w:rFonts w:hint="eastAsia"/>
        </w:rPr>
      </w:pPr>
      <w:r>
        <w:rPr>
          <w:rFonts w:hint="eastAsia"/>
        </w:rPr>
        <w:t>Why is President Trump taking this approach?</w:t>
      </w:r>
    </w:p>
    <w:p w14:paraId="763204CE">
      <w:pPr>
        <w:rPr>
          <w:rFonts w:hint="eastAsia"/>
        </w:rPr>
      </w:pPr>
    </w:p>
    <w:p w14:paraId="6641FDC3">
      <w:pPr>
        <w:rPr>
          <w:rFonts w:hint="eastAsia"/>
        </w:rPr>
      </w:pPr>
      <w:r>
        <w:rPr>
          <w:rFonts w:hint="eastAsia"/>
        </w:rPr>
        <w:t>First, by framing August 1st as a hard deadline, he is pushing trade negotiators to meet with him more urgently and accelerate the pace of discussions. It’s a tactic not unlike full-court pressure in basketball—where defenders apply intense coverage or double-teams to force a quick pass and provoke errors in judgment.</w:t>
      </w:r>
    </w:p>
    <w:p w14:paraId="01B32FA9">
      <w:pPr>
        <w:rPr>
          <w:rFonts w:hint="eastAsia"/>
        </w:rPr>
      </w:pPr>
    </w:p>
    <w:p w14:paraId="07D72B94">
      <w:pPr>
        <w:rPr>
          <w:rFonts w:hint="eastAsia"/>
        </w:rPr>
      </w:pPr>
      <w:r>
        <w:rPr>
          <w:rFonts w:hint="eastAsia"/>
        </w:rPr>
        <w:t>To reinforce this sense of urgency, Trump needed to present concrete measures—namely, the announcement of specific tariff actions on copper and pharmaceuticals. At the same time, he held back the final guidance on new semiconductor tariffs.</w:t>
      </w:r>
    </w:p>
    <w:p w14:paraId="3E0FF6BA">
      <w:pPr>
        <w:rPr>
          <w:rFonts w:hint="eastAsia"/>
        </w:rPr>
      </w:pPr>
    </w:p>
    <w:p w14:paraId="7D723610">
      <w:pPr>
        <w:rPr>
          <w:rFonts w:hint="eastAsia"/>
        </w:rPr>
      </w:pPr>
      <w:r>
        <w:rPr>
          <w:rFonts w:hint="eastAsia"/>
        </w:rPr>
        <w:t>This strategy is meant to pressure the countries that have already received tariff letters to return to the negotiating table swiftly and reach agreements as quickly as possible.</w:t>
      </w:r>
    </w:p>
    <w:p w14:paraId="5954E050">
      <w:pPr>
        <w:rPr>
          <w:rFonts w:hint="eastAsia"/>
        </w:rPr>
      </w:pPr>
      <w:r>
        <w:rPr>
          <w:rFonts w:hint="eastAsia"/>
        </w:rPr>
        <w:t>It also serves as a signal to those nations who are next in line to receive such letters—a demonstration of Trump’s resolve.</w:t>
      </w:r>
    </w:p>
    <w:p w14:paraId="5C4A1FAB">
      <w:pPr>
        <w:rPr>
          <w:rFonts w:hint="eastAsia"/>
        </w:rPr>
      </w:pPr>
    </w:p>
    <w:p w14:paraId="4B775064">
      <w:pPr>
        <w:rPr>
          <w:rFonts w:hint="eastAsia"/>
        </w:rPr>
      </w:pPr>
    </w:p>
    <w:p w14:paraId="4CE88D1A">
      <w:pPr>
        <w:rPr>
          <w:rFonts w:hint="eastAsia"/>
        </w:rPr>
      </w:pPr>
    </w:p>
    <w:p w14:paraId="7678B546">
      <w:pPr>
        <w:rPr>
          <w:rFonts w:hint="eastAsia"/>
        </w:rPr>
      </w:pPr>
    </w:p>
    <w:p w14:paraId="43EF672A">
      <w:pPr>
        <w:rPr>
          <w:rFonts w:hint="eastAsia"/>
        </w:rPr>
      </w:pPr>
      <w:r>
        <w:rPr>
          <w:rFonts w:hint="eastAsia"/>
        </w:rPr>
        <w:t>Indeed, as many within our TACO circle would agree, President Trump's resolve rarely lasts beyond three days. This, too, is part of the shared understanding we’ve come to expect.</w:t>
      </w:r>
    </w:p>
    <w:p w14:paraId="01EFAAA8">
      <w:pPr>
        <w:rPr>
          <w:rFonts w:hint="eastAsia"/>
        </w:rPr>
      </w:pPr>
    </w:p>
    <w:p w14:paraId="1ECBF4B1">
      <w:pPr>
        <w:rPr>
          <w:rFonts w:hint="eastAsia"/>
        </w:rPr>
      </w:pPr>
      <w:r>
        <w:rPr>
          <w:rFonts w:hint="eastAsia"/>
        </w:rPr>
        <w:t>Yet today, he went further—directing sharp and, frankly, uncharacteristically undignified language toward Federal Reserve Chair Jerome Powell, accusing him of acting like a “baby” and calling for a congressional investigation into him.</w:t>
      </w:r>
    </w:p>
    <w:p w14:paraId="224B2B9A">
      <w:pPr>
        <w:rPr>
          <w:rFonts w:hint="eastAsia"/>
        </w:rPr>
      </w:pPr>
    </w:p>
    <w:p w14:paraId="2D539FA8">
      <w:pPr>
        <w:rPr>
          <w:rFonts w:hint="eastAsia"/>
        </w:rPr>
      </w:pPr>
      <w:r>
        <w:rPr>
          <w:rFonts w:hint="eastAsia"/>
        </w:rPr>
        <w:t>What, precisely, has provoked such an unfiltered outburst?</w:t>
      </w:r>
    </w:p>
    <w:p w14:paraId="52A2B77F">
      <w:pPr>
        <w:rPr>
          <w:rFonts w:hint="eastAsia"/>
        </w:rPr>
      </w:pPr>
    </w:p>
    <w:p w14:paraId="06726FC5">
      <w:pPr>
        <w:rPr>
          <w:rFonts w:hint="eastAsia"/>
        </w:rPr>
      </w:pPr>
      <w:r>
        <w:rPr>
          <w:rFonts w:hint="eastAsia"/>
        </w:rPr>
        <w:t>Is a rate cut truly that important to him?</w:t>
      </w:r>
    </w:p>
    <w:p w14:paraId="0857CA26">
      <w:pPr>
        <w:rPr>
          <w:rFonts w:hint="eastAsia"/>
        </w:rPr>
      </w:pPr>
    </w:p>
    <w:p w14:paraId="1A92A430">
      <w:pPr>
        <w:rPr>
          <w:rFonts w:hint="eastAsia"/>
        </w:rPr>
      </w:pPr>
      <w:r>
        <w:rPr>
          <w:rFonts w:hint="eastAsia"/>
        </w:rPr>
        <w:t>The answer, as I’ve discussed in previous community forum sessions, lies not in monetary policy alone—but in the mechanics of sovereign debt issuance. A rate cut is critical for Trump, not merely for optics, but for the practical need to issue new Treasury bonds under more favorable conditions. With interest rates still elevated, any new debt issued would carry a correspondingly higher interest burden.</w:t>
      </w:r>
    </w:p>
    <w:p w14:paraId="1FE3B45C">
      <w:pPr>
        <w:rPr>
          <w:rFonts w:hint="eastAsia"/>
        </w:rPr>
      </w:pPr>
    </w:p>
    <w:p w14:paraId="7CCCBAE6">
      <w:pPr>
        <w:rPr>
          <w:rFonts w:hint="eastAsia"/>
        </w:rPr>
      </w:pPr>
      <w:r>
        <w:rPr>
          <w:rFonts w:hint="eastAsia"/>
        </w:rPr>
        <w:t>Now that the Big Beautiful Act has been passed in full, the debt ceiling has effectively been lifted. This opens the window for large-scale issuance of new government debt—a step made urgent by the need to refinance substantial obligations coming due. In this context, Trump’s impatience is not performative; it reflects a pressing fiscal calculus. Urging the Fed to cut rates is, in essence, his attempt to manage the cost of that urgency.</w:t>
      </w:r>
    </w:p>
    <w:p w14:paraId="5BC3B8FE">
      <w:pPr>
        <w:rPr>
          <w:rFonts w:hint="eastAsia"/>
        </w:rPr>
      </w:pPr>
    </w:p>
    <w:p w14:paraId="72AB96D2">
      <w:pPr>
        <w:rPr>
          <w:rFonts w:hint="eastAsia"/>
        </w:rPr>
      </w:pPr>
    </w:p>
    <w:p w14:paraId="3FBCC37D">
      <w:pPr>
        <w:rPr>
          <w:rFonts w:hint="eastAsia"/>
        </w:rPr>
      </w:pPr>
    </w:p>
    <w:p w14:paraId="7959E56C">
      <w:pPr>
        <w:rPr>
          <w:rFonts w:hint="eastAsia"/>
        </w:rPr>
      </w:pPr>
    </w:p>
    <w:p w14:paraId="15344A46">
      <w:pPr>
        <w:rPr>
          <w:rFonts w:hint="eastAsia"/>
        </w:rPr>
      </w:pPr>
      <w:r>
        <w:rPr>
          <w:rFonts w:hint="eastAsia"/>
        </w:rPr>
        <w:t>So why do I believe that Trump’s August 1st deadline will eventually be postponed?</w:t>
      </w:r>
    </w:p>
    <w:p w14:paraId="267F1202">
      <w:pPr>
        <w:rPr>
          <w:rFonts w:hint="eastAsia"/>
        </w:rPr>
      </w:pPr>
    </w:p>
    <w:p w14:paraId="52393074">
      <w:pPr>
        <w:rPr>
          <w:rFonts w:hint="eastAsia"/>
        </w:rPr>
      </w:pPr>
      <w:r>
        <w:rPr>
          <w:rFonts w:hint="eastAsia"/>
        </w:rPr>
        <w:t>Because the Federal Reserve will not abruptly announce a rate cut at its late-July meeting simply in response to Trump’s loud criticism and public pressure. That is not Powell’s way of conducting policy.</w:t>
      </w:r>
    </w:p>
    <w:p w14:paraId="375198EA">
      <w:pPr>
        <w:rPr>
          <w:rFonts w:hint="eastAsia"/>
        </w:rPr>
      </w:pPr>
      <w:r>
        <w:rPr>
          <w:rFonts w:hint="eastAsia"/>
        </w:rPr>
        <w:t>Moreover, July’s non-farm payroll data came in strong, with unemployment decreasing. That gives the Fed more time to assess conditions.</w:t>
      </w:r>
    </w:p>
    <w:p w14:paraId="0CD170CE">
      <w:pPr>
        <w:rPr>
          <w:rFonts w:hint="eastAsia"/>
        </w:rPr>
      </w:pPr>
      <w:r>
        <w:rPr>
          <w:rFonts w:hint="eastAsia"/>
        </w:rPr>
        <w:t>And above all, the U.S. Constitution guarantees the Federal Reserve’s independence in monetary policymaking. A rate cut this month is highly unlikely.</w:t>
      </w:r>
    </w:p>
    <w:p w14:paraId="69F66DB1">
      <w:pPr>
        <w:rPr>
          <w:rFonts w:hint="eastAsia"/>
        </w:rPr>
      </w:pPr>
    </w:p>
    <w:p w14:paraId="270F6A29">
      <w:pPr>
        <w:rPr>
          <w:rFonts w:hint="eastAsia"/>
        </w:rPr>
      </w:pPr>
      <w:r>
        <w:rPr>
          <w:rFonts w:hint="eastAsia"/>
        </w:rPr>
        <w:t>Trump may be accustomed to theatrics, but the sense of caution and hesitation his remarks have introduced into the markets, to me, is actually constructive.</w:t>
      </w:r>
    </w:p>
    <w:p w14:paraId="0E33ED86">
      <w:pPr>
        <w:rPr>
          <w:rFonts w:hint="eastAsia"/>
        </w:rPr>
      </w:pPr>
      <w:r>
        <w:rPr>
          <w:rFonts w:hint="eastAsia"/>
        </w:rPr>
        <w:t>When I can see through this dynamic clearly, I know how to continuously refine our quantitative strategy decisions and signal execution.</w:t>
      </w:r>
    </w:p>
    <w:p w14:paraId="5D11664A">
      <w:pPr>
        <w:rPr>
          <w:rFonts w:hint="eastAsia"/>
        </w:rPr>
      </w:pPr>
    </w:p>
    <w:p w14:paraId="1CECAF5D">
      <w:pPr>
        <w:rPr>
          <w:rFonts w:hint="eastAsia"/>
        </w:rPr>
      </w:pPr>
      <w:r>
        <w:rPr>
          <w:rFonts w:hint="eastAsia"/>
        </w:rPr>
        <w:t>And it is precisely because of that clarity that I’m able to support you more effectively. Don’t you think so?</w:t>
      </w:r>
    </w:p>
    <w:p w14:paraId="5599D5EC">
      <w:pPr>
        <w:rPr>
          <w:rFonts w:hint="eastAsia"/>
        </w:rPr>
      </w:pPr>
    </w:p>
    <w:p w14:paraId="2F6F457B">
      <w:pPr>
        <w:rPr>
          <w:rFonts w:hint="eastAsia"/>
        </w:rPr>
      </w:pPr>
    </w:p>
    <w:p w14:paraId="4BDB9A77">
      <w:pPr>
        <w:rPr>
          <w:rFonts w:hint="eastAsia"/>
        </w:rPr>
      </w:pPr>
    </w:p>
    <w:p w14:paraId="5D8CA721">
      <w:pPr>
        <w:rPr>
          <w:rFonts w:hint="eastAsia"/>
        </w:rPr>
      </w:pPr>
    </w:p>
    <w:p w14:paraId="4F8A94D4">
      <w:pPr>
        <w:rPr>
          <w:rFonts w:hint="eastAsia"/>
        </w:rPr>
      </w:pPr>
      <w:r>
        <w:drawing>
          <wp:inline distT="0" distB="0" distL="114300" distR="114300">
            <wp:extent cx="5272405" cy="3707765"/>
            <wp:effectExtent l="0" t="0" r="4445" b="698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9"/>
                    <a:stretch>
                      <a:fillRect/>
                    </a:stretch>
                  </pic:blipFill>
                  <pic:spPr>
                    <a:xfrm>
                      <a:off x="0" y="0"/>
                      <a:ext cx="5272405" cy="3707765"/>
                    </a:xfrm>
                    <a:prstGeom prst="rect">
                      <a:avLst/>
                    </a:prstGeom>
                    <a:noFill/>
                    <a:ln>
                      <a:noFill/>
                    </a:ln>
                  </pic:spPr>
                </pic:pic>
              </a:graphicData>
            </a:graphic>
          </wp:inline>
        </w:drawing>
      </w:r>
      <w:r>
        <w:rPr>
          <w:rFonts w:hint="eastAsia"/>
        </w:rPr>
        <w:t>Given my view that Trump’s tariff drama is likely to be extended, and my parallel expectation that the Federal Reserve will move to cut rates in September, what kind of trading guidance do these overlapping perspectives offer?</w:t>
      </w:r>
    </w:p>
    <w:p w14:paraId="00C3FEA0">
      <w:pPr>
        <w:rPr>
          <w:rFonts w:hint="eastAsia"/>
        </w:rPr>
      </w:pPr>
    </w:p>
    <w:p w14:paraId="18C1414B">
      <w:pPr>
        <w:rPr>
          <w:rFonts w:hint="eastAsia"/>
        </w:rPr>
      </w:pPr>
      <w:r>
        <w:rPr>
          <w:rFonts w:hint="eastAsia"/>
        </w:rPr>
        <w:t>First and foremost, I am closely monitoring the implementation of the Big Beautiful Act, a tax reduction package passed by Congress.</w:t>
      </w:r>
    </w:p>
    <w:p w14:paraId="5C1D0087">
      <w:pPr>
        <w:rPr>
          <w:rFonts w:hint="eastAsia"/>
        </w:rPr>
      </w:pPr>
      <w:r>
        <w:rPr>
          <w:rFonts w:hint="eastAsia"/>
        </w:rPr>
        <w:t>For industries positioned to benefit, this legislation will likely shape the landscape for the next five years.</w:t>
      </w:r>
    </w:p>
    <w:p w14:paraId="4E3C4E3E">
      <w:pPr>
        <w:rPr>
          <w:rFonts w:hint="eastAsia"/>
        </w:rPr>
      </w:pPr>
    </w:p>
    <w:p w14:paraId="04E3AF38">
      <w:pPr>
        <w:rPr>
          <w:rFonts w:hint="eastAsia"/>
        </w:rPr>
      </w:pPr>
      <w:r>
        <w:rPr>
          <w:rFonts w:hint="eastAsia"/>
        </w:rPr>
        <w:t>1. The technology sector—particularly in defense-related innovation. Semiconductors and computing power will see meaningful upside.</w:t>
      </w:r>
    </w:p>
    <w:p w14:paraId="2BE94630">
      <w:pPr>
        <w:rPr>
          <w:rFonts w:hint="eastAsia"/>
        </w:rPr>
      </w:pPr>
    </w:p>
    <w:p w14:paraId="1B22FCBC">
      <w:pPr>
        <w:rPr>
          <w:rFonts w:hint="eastAsia"/>
        </w:rPr>
      </w:pPr>
      <w:r>
        <w:rPr>
          <w:rFonts w:hint="eastAsia"/>
        </w:rPr>
        <w:t>2. The energy sector.</w:t>
      </w:r>
    </w:p>
    <w:p w14:paraId="7B544E4E">
      <w:pPr>
        <w:rPr>
          <w:rFonts w:hint="eastAsia"/>
        </w:rPr>
      </w:pPr>
    </w:p>
    <w:p w14:paraId="78F12291">
      <w:pPr>
        <w:rPr>
          <w:rFonts w:hint="eastAsia"/>
        </w:rPr>
      </w:pPr>
      <w:r>
        <w:rPr>
          <w:rFonts w:hint="eastAsia"/>
        </w:rPr>
        <w:t>3. Consumer goods, especially automotive consumption, as tax-exempt loan policies take effect.</w:t>
      </w:r>
    </w:p>
    <w:p w14:paraId="066B0EED">
      <w:pPr>
        <w:rPr>
          <w:rFonts w:hint="eastAsia"/>
        </w:rPr>
      </w:pPr>
    </w:p>
    <w:p w14:paraId="1C75D680">
      <w:pPr>
        <w:rPr>
          <w:rFonts w:hint="eastAsia"/>
        </w:rPr>
      </w:pPr>
      <w:r>
        <w:rPr>
          <w:rFonts w:hint="eastAsia"/>
        </w:rPr>
        <w:t>4. Aerospace and aviation.</w:t>
      </w:r>
    </w:p>
    <w:p w14:paraId="25A80DA0">
      <w:pPr>
        <w:rPr>
          <w:rFonts w:hint="eastAsia"/>
        </w:rPr>
      </w:pPr>
    </w:p>
    <w:p w14:paraId="3C9798D1">
      <w:pPr>
        <w:rPr>
          <w:rFonts w:hint="eastAsia"/>
        </w:rPr>
      </w:pPr>
      <w:r>
        <w:rPr>
          <w:rFonts w:hint="eastAsia"/>
        </w:rPr>
        <w:t>These sectoral developments form the foundation of both my short-term and long-term strategic positioning.</w:t>
      </w:r>
    </w:p>
    <w:p w14:paraId="24F17540">
      <w:pPr>
        <w:rPr>
          <w:rFonts w:hint="eastAsia"/>
        </w:rPr>
      </w:pPr>
    </w:p>
    <w:p w14:paraId="2BB6F495">
      <w:pPr>
        <w:rPr>
          <w:rFonts w:hint="eastAsia"/>
        </w:rPr>
      </w:pPr>
    </w:p>
    <w:p w14:paraId="65BDD389">
      <w:pPr>
        <w:rPr>
          <w:rFonts w:hint="eastAsia"/>
        </w:rPr>
      </w:pPr>
    </w:p>
    <w:p w14:paraId="1DB61443">
      <w:pPr>
        <w:rPr>
          <w:rFonts w:hint="eastAsia"/>
        </w:rPr>
      </w:pPr>
    </w:p>
    <w:p w14:paraId="49403379">
      <w:pPr>
        <w:rPr>
          <w:rFonts w:hint="eastAsia"/>
        </w:rPr>
      </w:pPr>
      <w:r>
        <w:drawing>
          <wp:inline distT="0" distB="0" distL="114300" distR="114300">
            <wp:extent cx="5272405" cy="1691005"/>
            <wp:effectExtent l="0" t="0" r="4445"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0"/>
                    <a:stretch>
                      <a:fillRect/>
                    </a:stretch>
                  </pic:blipFill>
                  <pic:spPr>
                    <a:xfrm>
                      <a:off x="0" y="0"/>
                      <a:ext cx="5272405" cy="1691005"/>
                    </a:xfrm>
                    <a:prstGeom prst="rect">
                      <a:avLst/>
                    </a:prstGeom>
                    <a:noFill/>
                    <a:ln>
                      <a:noFill/>
                    </a:ln>
                  </pic:spPr>
                </pic:pic>
              </a:graphicData>
            </a:graphic>
          </wp:inline>
        </w:drawing>
      </w:r>
      <w:r>
        <w:rPr>
          <w:rFonts w:hint="eastAsia"/>
        </w:rPr>
        <w:t>For today’s compensation-backed verification trades, my selected equities were: APP and DUOL.</w:t>
      </w:r>
    </w:p>
    <w:p w14:paraId="4311BA86">
      <w:pPr>
        <w:rPr>
          <w:rFonts w:hint="eastAsia"/>
        </w:rPr>
      </w:pPr>
    </w:p>
    <w:p w14:paraId="22990448">
      <w:pPr>
        <w:rPr>
          <w:rFonts w:hint="eastAsia"/>
        </w:rPr>
      </w:pPr>
      <w:r>
        <w:rPr>
          <w:rFonts w:hint="eastAsia"/>
        </w:rPr>
        <w:t>APP is a full-stack mobile AI advertising platform—driven by emerging technological concepts and committed to reshaping wealth generation through innovation in intelligent media. Its strategic direction aligns with the policy momentum supported by the Big Beautiful Act.</w:t>
      </w:r>
    </w:p>
    <w:p w14:paraId="5B2909F1">
      <w:pPr>
        <w:rPr>
          <w:rFonts w:hint="eastAsia"/>
        </w:rPr>
      </w:pPr>
    </w:p>
    <w:p w14:paraId="613D16BB">
      <w:pPr>
        <w:rPr>
          <w:rFonts w:hint="eastAsia"/>
        </w:rPr>
      </w:pPr>
      <w:r>
        <w:rPr>
          <w:rFonts w:hint="eastAsia"/>
        </w:rPr>
        <w:t>DUOL is an AI-powered language learning company, expanding access to global learners while integrating data analytics and intelligent recommendation systems to drive user engagement and future growth potential.</w:t>
      </w:r>
    </w:p>
    <w:p w14:paraId="79E408C5">
      <w:pPr>
        <w:rPr>
          <w:rFonts w:hint="eastAsia"/>
        </w:rPr>
      </w:pPr>
    </w:p>
    <w:p w14:paraId="57D751D2">
      <w:pPr>
        <w:rPr>
          <w:rFonts w:hint="eastAsia"/>
        </w:rPr>
      </w:pPr>
      <w:r>
        <w:rPr>
          <w:rFonts w:hint="eastAsia"/>
        </w:rPr>
        <w:t>Both companies represent what I would describe as “small and refined”—nimble innovators well-positioned to benefit from a potential rate cut. In my view, their upward is a sure thing.</w:t>
      </w:r>
    </w:p>
    <w:p w14:paraId="2667DDED">
      <w:pPr>
        <w:rPr>
          <w:rFonts w:hint="eastAsia"/>
        </w:rPr>
      </w:pPr>
    </w:p>
    <w:p w14:paraId="47CD8DCB">
      <w:pPr>
        <w:rPr>
          <w:rFonts w:hint="eastAsia"/>
        </w:rPr>
      </w:pPr>
      <w:r>
        <w:rPr>
          <w:rFonts w:hint="eastAsia"/>
        </w:rPr>
        <w:t>That’s why I encouraged validation today—at a moment I believe to be both timely and opportune. I expect the outcomes to become evident within days.</w:t>
      </w:r>
    </w:p>
    <w:p w14:paraId="509AA6A3">
      <w:pPr>
        <w:rPr>
          <w:rFonts w:hint="eastAsia"/>
        </w:rPr>
      </w:pPr>
    </w:p>
    <w:p w14:paraId="114A8CBE">
      <w:pPr>
        <w:rPr>
          <w:rFonts w:hint="eastAsia"/>
        </w:rPr>
      </w:pPr>
      <w:r>
        <w:rPr>
          <w:rFonts w:hint="eastAsia"/>
        </w:rPr>
        <w:t>Did you take part?</w:t>
      </w:r>
    </w:p>
    <w:p w14:paraId="4F6C250C">
      <w:pPr>
        <w:rPr>
          <w:rFonts w:hint="eastAsia"/>
        </w:rPr>
      </w:pPr>
    </w:p>
    <w:p w14:paraId="0A4D778A">
      <w:pPr>
        <w:rPr>
          <w:rFonts w:hint="eastAsia"/>
        </w:rPr>
      </w:pPr>
      <w:r>
        <w:rPr>
          <w:rFonts w:hint="eastAsia"/>
        </w:rPr>
        <w:t>If you did, please remember to send a screenshot to my assistant as proof of participation in today’s compensation-backed verification round. You may also become eligible for our token voucher incentive.</w:t>
      </w:r>
    </w:p>
    <w:p w14:paraId="01152923">
      <w:pPr>
        <w:rPr>
          <w:rFonts w:hint="eastAsia"/>
        </w:rPr>
      </w:pPr>
    </w:p>
    <w:p w14:paraId="2320E971">
      <w:pPr>
        <w:rPr>
          <w:rFonts w:hint="eastAsia"/>
        </w:rPr>
      </w:pPr>
    </w:p>
    <w:p w14:paraId="3060EBAD">
      <w:pPr>
        <w:rPr>
          <w:rFonts w:hint="eastAsia"/>
        </w:rPr>
      </w:pPr>
    </w:p>
    <w:p w14:paraId="2B67189A">
      <w:pPr>
        <w:rPr>
          <w:rFonts w:hint="eastAsia"/>
        </w:rPr>
      </w:pPr>
    </w:p>
    <w:p w14:paraId="35719183">
      <w:pPr>
        <w:rPr>
          <w:rFonts w:hint="eastAsia"/>
        </w:rPr>
      </w:pPr>
      <w:r>
        <w:rPr>
          <w:rFonts w:hint="eastAsia"/>
        </w:rPr>
        <w:t>Tuesday’s market stagnation and sideways movement are, in my view, not a negative signal. Within the next two days, we are likely to see the TACO effect play out more decisively.</w:t>
      </w:r>
    </w:p>
    <w:p w14:paraId="63CB0B46">
      <w:pPr>
        <w:rPr>
          <w:rFonts w:hint="eastAsia"/>
        </w:rPr>
      </w:pPr>
    </w:p>
    <w:p w14:paraId="747EC791">
      <w:pPr>
        <w:rPr>
          <w:rFonts w:hint="eastAsia"/>
        </w:rPr>
      </w:pPr>
      <w:r>
        <w:rPr>
          <w:rFonts w:hint="eastAsia"/>
        </w:rPr>
        <w:t>At the same time, when the equity markets experience intraday declines triggered by new tariff correspondence, we should have the conviction to hold—and opportunistically acquire—equities that stand to benefit from the Big Beautiful Act.</w:t>
      </w:r>
    </w:p>
    <w:p w14:paraId="6F767351">
      <w:pPr>
        <w:rPr>
          <w:rFonts w:hint="eastAsia"/>
        </w:rPr>
      </w:pPr>
    </w:p>
    <w:p w14:paraId="64AE0BA3">
      <w:pPr>
        <w:rPr>
          <w:rFonts w:hint="eastAsia"/>
        </w:rPr>
      </w:pPr>
      <w:r>
        <w:rPr>
          <w:rFonts w:hint="eastAsia"/>
        </w:rPr>
        <w:t>After all, tariffs are not Trump’s ultimate objective. What he seeks is the issuance of new Treasury debt, accompanied by rate cuts to reduce the cost of interest payments.</w:t>
      </w:r>
    </w:p>
    <w:p w14:paraId="65BE86D1">
      <w:pPr>
        <w:rPr>
          <w:rFonts w:hint="eastAsia"/>
        </w:rPr>
      </w:pPr>
      <w:r>
        <w:rPr>
          <w:rFonts w:hint="eastAsia"/>
        </w:rPr>
        <w:t>The tariff maneuver, in this context, is also intended to pressure new classes of debt purchasers into the market—ultimately reinforcing the credibility of the United States and preserving the dollar’s international monetary leadership.</w:t>
      </w:r>
    </w:p>
    <w:p w14:paraId="2867C20D">
      <w:pPr>
        <w:rPr>
          <w:rFonts w:hint="eastAsia"/>
        </w:rPr>
      </w:pPr>
    </w:p>
    <w:p w14:paraId="496792EC">
      <w:pPr>
        <w:rPr>
          <w:rFonts w:hint="eastAsia"/>
        </w:rPr>
      </w:pPr>
      <w:r>
        <w:rPr>
          <w:rFonts w:hint="eastAsia"/>
        </w:rPr>
        <w:t>I won't go into detail about how digital assets could help with this Treasury absorption today.</w:t>
      </w:r>
    </w:p>
    <w:p w14:paraId="4B0C5CF3">
      <w:pPr>
        <w:rPr>
          <w:rFonts w:hint="eastAsia"/>
        </w:rPr>
      </w:pPr>
    </w:p>
    <w:p w14:paraId="6BF23305">
      <w:pPr>
        <w:rPr>
          <w:rFonts w:hint="eastAsia"/>
        </w:rPr>
      </w:pPr>
      <w:r>
        <w:rPr>
          <w:rFonts w:hint="eastAsia"/>
        </w:rPr>
        <w:t>If you find value in our community forum sessions, I invite you to remain engaged—and I welcome your thoughtful feedback and continued participation.</w:t>
      </w:r>
    </w:p>
    <w:p w14:paraId="7508BB26">
      <w:pPr>
        <w:rPr>
          <w:rFonts w:hint="eastAsia"/>
        </w:rPr>
      </w:pPr>
    </w:p>
    <w:p w14:paraId="415D97FF">
      <w:pPr>
        <w:rPr>
          <w:rFonts w:hint="eastAsia"/>
        </w:rPr>
      </w:pPr>
    </w:p>
    <w:p w14:paraId="5DD665F5">
      <w:pPr>
        <w:rPr>
          <w:rFonts w:hint="eastAsia"/>
        </w:rPr>
      </w:pPr>
    </w:p>
    <w:p w14:paraId="1836EAE5">
      <w:pPr>
        <w:rPr>
          <w:rFonts w:hint="eastAsia"/>
        </w:rPr>
      </w:pPr>
    </w:p>
    <w:p w14:paraId="0B9217EE">
      <w:pPr>
        <w:rPr>
          <w:rFonts w:hint="eastAsia"/>
        </w:rPr>
      </w:pPr>
      <w:r>
        <w:rPr>
          <w:rFonts w:hint="eastAsia"/>
        </w:rPr>
        <w:t>Folks—don’t worry, and don’t hesitate!</w:t>
      </w:r>
    </w:p>
    <w:p w14:paraId="4352810A">
      <w:pPr>
        <w:rPr>
          <w:rFonts w:hint="eastAsia"/>
        </w:rPr>
      </w:pPr>
    </w:p>
    <w:p w14:paraId="55EFD362">
      <w:pPr>
        <w:rPr>
          <w:rFonts w:hint="eastAsia"/>
        </w:rPr>
      </w:pPr>
      <w:r>
        <w:rPr>
          <w:rFonts w:hint="eastAsia"/>
        </w:rPr>
        <w:t>When you are clear on why you act—and why you trade—you draw strength and inspiration that feels, in many ways, like it comes from above.</w:t>
      </w:r>
    </w:p>
    <w:p w14:paraId="3D72CE1C">
      <w:pPr>
        <w:rPr>
          <w:rFonts w:hint="eastAsia"/>
        </w:rPr>
      </w:pPr>
    </w:p>
    <w:p w14:paraId="22898261">
      <w:pPr>
        <w:rPr>
          <w:rFonts w:hint="eastAsia"/>
        </w:rPr>
      </w:pPr>
      <w:r>
        <w:rPr>
          <w:rFonts w:hint="eastAsia"/>
        </w:rPr>
        <w:t>My Acumeta system is constantly at work: recording complex data flows, tracking critical charts, and helping me conduct thorough, structured analysis.</w:t>
      </w:r>
    </w:p>
    <w:p w14:paraId="56F4E5C9">
      <w:pPr>
        <w:rPr>
          <w:rFonts w:hint="eastAsia"/>
        </w:rPr>
      </w:pPr>
      <w:r>
        <w:rPr>
          <w:rFonts w:hint="eastAsia"/>
        </w:rPr>
        <w:t>This kind of cutting-edge technology elevates the clarity and confidence of every interpretation I make while offering practical insights for secure decision-making.</w:t>
      </w:r>
    </w:p>
    <w:p w14:paraId="75AFE48F">
      <w:pPr>
        <w:rPr>
          <w:rFonts w:hint="eastAsia"/>
        </w:rPr>
      </w:pPr>
    </w:p>
    <w:p w14:paraId="41E0B4A4">
      <w:pPr>
        <w:rPr>
          <w:rFonts w:hint="eastAsia"/>
        </w:rPr>
      </w:pPr>
      <w:r>
        <w:rPr>
          <w:rFonts w:hint="eastAsia"/>
        </w:rPr>
        <w:t>That is the enduring strength—and quiet appeal—of my Quantitative Think Tank Center.</w:t>
      </w:r>
    </w:p>
    <w:p w14:paraId="2FEC60D7">
      <w:pPr>
        <w:rPr>
          <w:rFonts w:hint="eastAsia"/>
        </w:rPr>
      </w:pPr>
    </w:p>
    <w:p w14:paraId="34A9EFD5">
      <w:pPr>
        <w:rPr>
          <w:rFonts w:hint="eastAsia"/>
        </w:rPr>
      </w:pPr>
      <w:r>
        <w:rPr>
          <w:rFonts w:hint="eastAsia"/>
        </w:rPr>
        <w:t>As we wrap up this Tuesday’s community forum, I’ve prepared a small bonus: a brief knowledge check. It’s also your chance to receive a well-curated gift, and a moment to test what you’ve absorbed from today’s discussion.</w:t>
      </w:r>
    </w:p>
    <w:p w14:paraId="1C5AC518">
      <w:pPr>
        <w:rPr>
          <w:rFonts w:hint="eastAsia"/>
        </w:rPr>
      </w:pPr>
    </w:p>
    <w:p w14:paraId="5666FD95">
      <w:pPr>
        <w:rPr>
          <w:rFonts w:hint="eastAsia"/>
        </w:rPr>
      </w:pPr>
      <w:r>
        <w:rPr>
          <w:rFonts w:hint="eastAsia"/>
        </w:rPr>
        <w:t>1. Why has President Trump postponed elements of the trade war?</w:t>
      </w:r>
    </w:p>
    <w:p w14:paraId="08442222">
      <w:pPr>
        <w:rPr>
          <w:rFonts w:hint="eastAsia"/>
        </w:rPr>
      </w:pPr>
    </w:p>
    <w:p w14:paraId="45D4DEDA">
      <w:pPr>
        <w:rPr>
          <w:rFonts w:hint="eastAsia"/>
        </w:rPr>
      </w:pPr>
      <w:r>
        <w:rPr>
          <w:rFonts w:hint="eastAsia"/>
        </w:rPr>
        <w:t>2. Why is President Trump urging the Federal Reserve to cut interest rates so urgently?</w:t>
      </w:r>
    </w:p>
    <w:p w14:paraId="73B96BD5">
      <w:pPr>
        <w:rPr>
          <w:rFonts w:hint="eastAsia"/>
        </w:rPr>
      </w:pPr>
    </w:p>
    <w:p w14:paraId="35C6885C">
      <w:pPr>
        <w:rPr>
          <w:rFonts w:hint="eastAsia"/>
        </w:rPr>
      </w:pPr>
      <w:r>
        <w:rPr>
          <w:rFonts w:hint="eastAsia"/>
        </w:rPr>
        <w:t>3. What daily gifts does our Quantitative Think Tank Center offer—and which one is your personal favorite?</w:t>
      </w:r>
    </w:p>
    <w:p w14:paraId="3DDEDA06">
      <w:pPr>
        <w:rPr>
          <w:rFonts w:hint="eastAsia"/>
        </w:rPr>
      </w:pPr>
    </w:p>
    <w:p w14:paraId="55635448">
      <w:pPr>
        <w:rPr>
          <w:rFonts w:hint="eastAsia"/>
        </w:rPr>
      </w:pPr>
      <w:r>
        <w:rPr>
          <w:rFonts w:hint="eastAsia"/>
        </w:rPr>
        <w:t>Share your answers with my assistant to receive your gift.</w:t>
      </w:r>
    </w:p>
    <w:p w14:paraId="74EA4511">
      <w:pPr>
        <w:rPr>
          <w:rFonts w:hint="eastAsia"/>
        </w:rPr>
      </w:pPr>
      <w:r>
        <w:rPr>
          <w:rFonts w:hint="eastAsia"/>
        </w:rPr>
        <w:t>I look forward to seeing you again for Wednesday’s session, where we’ll continue exploring more of the strategy that shapes our future. Don’t miss it.</w:t>
      </w:r>
      <w:bookmarkStart w:id="0" w:name="_GoBack"/>
      <w:bookmarkEnd w:id="0"/>
    </w:p>
    <w:p w14:paraId="36A6E676">
      <w:pPr>
        <w:rPr>
          <w:rFonts w:hint="eastAsia"/>
        </w:rPr>
      </w:pPr>
    </w:p>
    <w:p w14:paraId="4C7B3C63">
      <w:pPr>
        <w:rPr>
          <w:rFonts w:hint="eastAsia"/>
        </w:rPr>
      </w:pPr>
    </w:p>
    <w:p w14:paraId="70D5D76F">
      <w:pPr>
        <w:rPr>
          <w:rFonts w:hint="eastAsia"/>
        </w:rPr>
      </w:pPr>
    </w:p>
    <w:p w14:paraId="16DEC721">
      <w:pPr>
        <w:rPr>
          <w:rFonts w:hint="eastAsia"/>
        </w:rPr>
      </w:pPr>
    </w:p>
    <w:p w14:paraId="7F4D6AA6">
      <w:pPr>
        <w:rPr>
          <w:rFonts w:hint="eastAsia"/>
        </w:rPr>
      </w:pPr>
    </w:p>
    <w:p w14:paraId="691B52A7">
      <w:pPr>
        <w:rPr>
          <w:rFonts w:hint="eastAsia"/>
        </w:rPr>
      </w:pPr>
    </w:p>
    <w:p w14:paraId="5E5E00DA">
      <w:pPr>
        <w:rPr>
          <w:rFonts w:hint="eastAsia"/>
        </w:rPr>
      </w:pPr>
    </w:p>
    <w:p w14:paraId="01B1FB1F">
      <w:pPr>
        <w:rPr>
          <w:rFonts w:hint="eastAsia"/>
        </w:rPr>
      </w:pPr>
    </w:p>
    <w:p w14:paraId="6E3ACE74">
      <w:pPr>
        <w:rPr>
          <w:rFonts w:hint="eastAsia"/>
        </w:rPr>
      </w:pPr>
    </w:p>
    <w:p w14:paraId="29C13ABF">
      <w:pPr>
        <w:rPr>
          <w:rFonts w:hint="eastAsia"/>
        </w:rPr>
      </w:pPr>
    </w:p>
    <w:p w14:paraId="5F6000BB">
      <w:pPr>
        <w:rPr>
          <w:rFonts w:hint="eastAsia"/>
          <w:lang w:eastAsia="zh-CN"/>
        </w:rPr>
      </w:pPr>
    </w:p>
    <w:p w14:paraId="34D43CF0">
      <w:pPr>
        <w:rPr>
          <w:rFonts w:hint="eastAsia"/>
          <w:lang w:eastAsia="zh-CN"/>
        </w:rPr>
      </w:pPr>
    </w:p>
    <w:p w14:paraId="2B8AADAE">
      <w:pPr>
        <w:rPr>
          <w:rFonts w:hint="eastAsia"/>
          <w:lang w:eastAsia="zh-CN"/>
        </w:rPr>
      </w:pPr>
    </w:p>
    <w:p w14:paraId="29E0F20C">
      <w:pPr>
        <w:rPr>
          <w:rFonts w:hint="eastAsia"/>
          <w:lang w:eastAsia="zh-CN"/>
        </w:rPr>
      </w:pPr>
    </w:p>
    <w:p w14:paraId="7824DDAD">
      <w:pPr>
        <w:rPr>
          <w:rFonts w:hint="eastAsia"/>
          <w:lang w:eastAsia="zh-CN"/>
        </w:rPr>
      </w:pPr>
    </w:p>
    <w:p w14:paraId="05D2FCDE">
      <w:pPr>
        <w:rPr>
          <w:rFonts w:hint="eastAsia"/>
          <w:lang w:eastAsia="zh-CN"/>
        </w:rPr>
      </w:pPr>
    </w:p>
    <w:p w14:paraId="35CB1E62">
      <w:pPr>
        <w:rPr>
          <w:rFonts w:hint="eastAsia"/>
          <w:lang w:eastAsia="zh-CN"/>
        </w:rPr>
      </w:pPr>
    </w:p>
    <w:p w14:paraId="24D8C692">
      <w:pPr>
        <w:rPr>
          <w:rFonts w:hint="eastAsia"/>
          <w:lang w:eastAsia="zh-CN"/>
        </w:rPr>
      </w:pPr>
    </w:p>
    <w:p w14:paraId="4BC785CB">
      <w:pPr>
        <w:rPr>
          <w:rFonts w:hint="eastAsia"/>
          <w:lang w:eastAsia="zh-CN"/>
        </w:rPr>
      </w:pPr>
    </w:p>
    <w:sectPr>
      <w:pgSz w:w="11906" w:h="16838"/>
      <w:pgMar w:top="2007"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DBE7BEF9"/>
    <w:rsid w:val="19A019E7"/>
    <w:rsid w:val="3AFF2EB0"/>
    <w:rsid w:val="5A545B19"/>
    <w:rsid w:val="DBE7BE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NULL"/><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24</Pages>
  <Words>2907</Words>
  <Characters>14070</Characters>
  <Lines>0</Lines>
  <Paragraphs>0</Paragraphs>
  <TotalTime>6758</TotalTime>
  <ScaleCrop>false</ScaleCrop>
  <LinksUpToDate>false</LinksUpToDate>
  <CharactersWithSpaces>16722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2025-06-25T21:14:00Z</dcterms:created>
  <dc:creator>YYYYYY.</dc:creator>
  <cp:lastModifiedBy>Administrator</cp:lastModifiedBy>
  <dcterms:modified xsi:type="dcterms:W3CDTF">2025-07-08T23:06:46Z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B7F238E0BF9B4DB0A1ECB79B5741866D_13</vt:lpwstr>
  </property>
  <property fmtid="{D5CDD505-2E9C-101B-9397-08002B2CF9AE}" pid="4" name="KSOTemplateDocerSaveRecord">
    <vt:lpwstr>eyJoZGlkIjoiM2VkYTYxZTI5NmY3ZDg5M2MxOWI3N2JhN2JjY2RiMTUifQ==</vt:lpwstr>
  </property>
</Properties>
</file>